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DF2" w:rsidRPr="00C24BDE" w:rsidRDefault="00ED7DF2" w:rsidP="00ED7DF2">
      <w:pPr>
        <w:suppressAutoHyphens/>
        <w:autoSpaceDN w:val="0"/>
        <w:bidi/>
        <w:spacing w:line="240" w:lineRule="auto"/>
        <w:jc w:val="center"/>
        <w:textAlignment w:val="baseline"/>
        <w:rPr>
          <w:rFonts w:ascii="Traditional Arabic" w:eastAsia="Calibri" w:hAnsi="Traditional Arabic" w:cs="Traditional Arabic"/>
          <w:b/>
          <w:bCs/>
          <w:sz w:val="48"/>
          <w:szCs w:val="48"/>
          <w:lang w:bidi="ar-DZ"/>
        </w:rPr>
      </w:pPr>
      <w:bookmarkStart w:id="0" w:name="_GoBack"/>
      <w:bookmarkEnd w:id="0"/>
      <w:r w:rsidRPr="00C24BDE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  <w:lang w:bidi="ar-DZ"/>
        </w:rPr>
        <w:t>محاضرة رقم:09</w:t>
      </w:r>
    </w:p>
    <w:p w:rsidR="00ED7DF2" w:rsidRPr="00C24BDE" w:rsidRDefault="00ED7DF2" w:rsidP="00ED7DF2">
      <w:pPr>
        <w:suppressAutoHyphens/>
        <w:autoSpaceDN w:val="0"/>
        <w:bidi/>
        <w:spacing w:line="240" w:lineRule="auto"/>
        <w:ind w:left="141"/>
        <w:jc w:val="lowKashida"/>
        <w:textAlignment w:val="baseline"/>
        <w:rPr>
          <w:rFonts w:ascii="Traditional Arabic" w:eastAsia="Calibri" w:hAnsi="Traditional Arabic" w:cs="Traditional Arabic"/>
          <w:sz w:val="28"/>
          <w:szCs w:val="28"/>
          <w:lang w:bidi="ar-DZ"/>
        </w:rPr>
      </w:pPr>
    </w:p>
    <w:p w:rsidR="00ED7DF2" w:rsidRPr="00C24BDE" w:rsidRDefault="00ED7DF2" w:rsidP="00ED7DF2">
      <w:pPr>
        <w:suppressAutoHyphens/>
        <w:autoSpaceDN w:val="0"/>
        <w:bidi/>
        <w:spacing w:line="240" w:lineRule="auto"/>
        <w:jc w:val="lowKashida"/>
        <w:textAlignment w:val="baseline"/>
        <w:rPr>
          <w:rFonts w:ascii="Traditional Arabic" w:eastAsia="Calibri" w:hAnsi="Traditional Arabic" w:cs="Traditional Arabic"/>
          <w:b/>
          <w:bCs/>
          <w:sz w:val="32"/>
          <w:szCs w:val="32"/>
          <w:lang w:bidi="ar-DZ"/>
        </w:rPr>
      </w:pPr>
      <w:r w:rsidRPr="00C24BDE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C24BDE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المقاربة:</w:t>
      </w:r>
    </w:p>
    <w:p w:rsidR="00ED7DF2" w:rsidRPr="00C24BDE" w:rsidRDefault="00ED7DF2" w:rsidP="00ED7DF2">
      <w:pPr>
        <w:suppressAutoHyphens/>
        <w:autoSpaceDN w:val="0"/>
        <w:bidi/>
        <w:spacing w:line="240" w:lineRule="auto"/>
        <w:jc w:val="lowKashida"/>
        <w:textAlignment w:val="baseline"/>
        <w:rPr>
          <w:rFonts w:ascii="Traditional Arabic" w:eastAsia="Calibri" w:hAnsi="Traditional Arabic" w:cs="Traditional Arabic"/>
          <w:sz w:val="28"/>
          <w:szCs w:val="28"/>
          <w:lang w:bidi="ar-DZ"/>
        </w:rPr>
      </w:pPr>
      <w:r w:rsidRPr="00C24BDE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1-</w:t>
      </w:r>
      <w:r w:rsidRPr="00C24BDE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مفهوم المقاربة:</w:t>
      </w:r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 المقاربة هي أسلوب تصوير و دراسة موضوع أو تناول مشروع أو حل مشكلة أو تحقيق غاية، و يعتبر من الناحية التعليمية قاعدة نظرية تتضمن مجموعة من المبادئ يستند إليها تصور و بناء منهاج تعليمي، وهي منطق لتحديد </w:t>
      </w:r>
      <w:proofErr w:type="spellStart"/>
      <w:r w:rsidRPr="00C24BDE">
        <w:rPr>
          <w:rFonts w:ascii="Traditional Arabic" w:eastAsia="Calibri" w:hAnsi="Traditional Arabic" w:cs="Traditional Arabic" w:hint="cs"/>
          <w:sz w:val="28"/>
          <w:szCs w:val="28"/>
          <w:rtl/>
          <w:lang w:bidi="ar-DZ"/>
        </w:rPr>
        <w:t>الإستراتيجية</w:t>
      </w:r>
      <w:proofErr w:type="spellEnd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 و الطرق و التقنيات و الأساليب الضرورية و المقاربة تصور ذهني أم</w:t>
      </w:r>
      <w:r w:rsidRPr="00C24BDE">
        <w:rPr>
          <w:rFonts w:ascii="Traditional Arabic" w:eastAsia="Calibri" w:hAnsi="Traditional Arabic" w:cs="Traditional Arabic" w:hint="cs"/>
          <w:sz w:val="28"/>
          <w:szCs w:val="28"/>
          <w:rtl/>
          <w:lang w:bidi="ar-DZ"/>
        </w:rPr>
        <w:t>ا</w:t>
      </w:r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C24BDE">
        <w:rPr>
          <w:rFonts w:ascii="Traditional Arabic" w:eastAsia="Calibri" w:hAnsi="Traditional Arabic" w:cs="Traditional Arabic" w:hint="cs"/>
          <w:sz w:val="28"/>
          <w:szCs w:val="28"/>
          <w:rtl/>
          <w:lang w:bidi="ar-DZ"/>
        </w:rPr>
        <w:t>الإستراتيجية</w:t>
      </w:r>
      <w:proofErr w:type="spellEnd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 فتتمثل في مجريات نشاط البحث و التقصي و الدراسة و </w:t>
      </w:r>
      <w:proofErr w:type="gramStart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>التدخل</w:t>
      </w:r>
      <w:sdt>
        <w:sdtPr>
          <w:rPr>
            <w:rFonts w:ascii="Calibri" w:eastAsia="Calibri" w:hAnsi="Calibri" w:cs="Arial"/>
            <w:rtl/>
            <w:lang w:bidi="ar-DZ"/>
          </w:rPr>
          <w:id w:val="-283276369"/>
          <w:citation/>
        </w:sdtPr>
        <w:sdtContent>
          <w:r w:rsidRPr="00C24BDE">
            <w:rPr>
              <w:rFonts w:ascii="Traditional Arabic" w:eastAsia="Calibri" w:hAnsi="Traditional Arabic" w:cs="Traditional Arabic"/>
              <w:sz w:val="28"/>
              <w:szCs w:val="28"/>
              <w:rtl/>
              <w:lang w:bidi="ar-DZ"/>
            </w:rPr>
            <w:fldChar w:fldCharType="begin"/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lang w:bidi="ar-DZ"/>
            </w:rPr>
            <w:instrText xml:space="preserve">CITATION </w:instrText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rtl/>
              <w:lang w:bidi="ar-DZ"/>
            </w:rPr>
            <w:instrText>الم06</w:instrText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lang w:bidi="ar-DZ"/>
            </w:rPr>
            <w:instrText xml:space="preserve"> \p 15 \l 5121 </w:instrText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rtl/>
              <w:lang w:bidi="ar-DZ"/>
            </w:rPr>
            <w:fldChar w:fldCharType="separate"/>
          </w:r>
          <w:r w:rsidRPr="00C24BDE">
            <w:rPr>
              <w:rFonts w:ascii="Traditional Arabic" w:eastAsia="Calibri" w:hAnsi="Traditional Arabic" w:cs="Traditional Arabic" w:hint="cs"/>
              <w:noProof/>
              <w:sz w:val="28"/>
              <w:szCs w:val="28"/>
              <w:rtl/>
              <w:lang w:bidi="ar-DZ"/>
            </w:rPr>
            <w:t>(</w:t>
          </w:r>
          <w:proofErr w:type="gramEnd"/>
          <w:r w:rsidRPr="00C24BDE">
            <w:rPr>
              <w:rFonts w:ascii="Traditional Arabic" w:eastAsia="Calibri" w:hAnsi="Traditional Arabic" w:cs="Traditional Arabic" w:hint="cs"/>
              <w:noProof/>
              <w:sz w:val="28"/>
              <w:szCs w:val="28"/>
              <w:rtl/>
              <w:lang w:bidi="ar-DZ"/>
            </w:rPr>
            <w:t>المجلة الجزائرية للتربية ،المربي ، 2006، صفحة 15)</w:t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rtl/>
              <w:lang w:bidi="ar-DZ"/>
            </w:rPr>
            <w:fldChar w:fldCharType="end"/>
          </w:r>
        </w:sdtContent>
      </w:sdt>
    </w:p>
    <w:p w:rsidR="00ED7DF2" w:rsidRPr="00C24BDE" w:rsidRDefault="00ED7DF2" w:rsidP="00ED7DF2">
      <w:pPr>
        <w:suppressAutoHyphens/>
        <w:autoSpaceDN w:val="0"/>
        <w:bidi/>
        <w:spacing w:line="240" w:lineRule="auto"/>
        <w:jc w:val="lowKashida"/>
        <w:textAlignment w:val="baseline"/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</w:pPr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المقاربة هي تصور و بناء </w:t>
      </w:r>
      <w:proofErr w:type="gramStart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>مشروع  قابل</w:t>
      </w:r>
      <w:proofErr w:type="gramEnd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 للإنجاز أو خطة </w:t>
      </w:r>
      <w:r w:rsidRPr="00C24BDE">
        <w:rPr>
          <w:rFonts w:ascii="Traditional Arabic" w:eastAsia="Calibri" w:hAnsi="Traditional Arabic" w:cs="Traditional Arabic" w:hint="cs"/>
          <w:sz w:val="28"/>
          <w:szCs w:val="28"/>
          <w:rtl/>
          <w:lang w:bidi="ar-DZ"/>
        </w:rPr>
        <w:t>أو</w:t>
      </w:r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C24BDE">
        <w:rPr>
          <w:rFonts w:ascii="Traditional Arabic" w:eastAsia="Calibri" w:hAnsi="Traditional Arabic" w:cs="Traditional Arabic" w:hint="cs"/>
          <w:sz w:val="28"/>
          <w:szCs w:val="28"/>
          <w:rtl/>
          <w:lang w:bidi="ar-DZ"/>
        </w:rPr>
        <w:t>إستراتيجية</w:t>
      </w:r>
      <w:proofErr w:type="spellEnd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 اتخذت في الحساب كل العوامل المتداخلة في تحقيق الأداء الفعال و المردود المناسب من طريقة ووسائل ومكان و زمان و خصائص المتعلم و الوسط و النظريات البيداغوجية</w:t>
      </w:r>
      <w:sdt>
        <w:sdtPr>
          <w:rPr>
            <w:rFonts w:ascii="Calibri" w:eastAsia="Calibri" w:hAnsi="Calibri" w:cs="Arial"/>
            <w:rtl/>
            <w:lang w:bidi="ar-DZ"/>
          </w:rPr>
          <w:id w:val="1773821822"/>
          <w:citation/>
        </w:sdtPr>
        <w:sdtContent>
          <w:r w:rsidRPr="00C24BDE">
            <w:rPr>
              <w:rFonts w:ascii="Traditional Arabic" w:eastAsia="Calibri" w:hAnsi="Traditional Arabic" w:cs="Traditional Arabic"/>
              <w:sz w:val="28"/>
              <w:szCs w:val="28"/>
              <w:rtl/>
              <w:lang w:bidi="ar-DZ"/>
            </w:rPr>
            <w:fldChar w:fldCharType="begin"/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lang w:bidi="ar-DZ"/>
            </w:rPr>
            <w:instrText xml:space="preserve">CITATION </w:instrText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rtl/>
              <w:lang w:bidi="ar-DZ"/>
            </w:rPr>
            <w:instrText>طيب04</w:instrText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lang w:bidi="ar-DZ"/>
            </w:rPr>
            <w:instrText xml:space="preserve"> \p 2 \l 5121 </w:instrText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rtl/>
              <w:lang w:bidi="ar-DZ"/>
            </w:rPr>
            <w:fldChar w:fldCharType="separate"/>
          </w:r>
          <w:r w:rsidRPr="00C24BDE">
            <w:rPr>
              <w:rFonts w:ascii="Traditional Arabic" w:eastAsia="Calibri" w:hAnsi="Traditional Arabic" w:cs="Traditional Arabic" w:hint="cs"/>
              <w:noProof/>
              <w:sz w:val="28"/>
              <w:szCs w:val="28"/>
              <w:rtl/>
              <w:lang w:bidi="ar-DZ"/>
            </w:rPr>
            <w:t>(طيب نايت سليمان ،زعتوت عبد الرحمان، قوال فاطمة، 2004، صفحة 2)</w:t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rtl/>
              <w:lang w:bidi="ar-DZ"/>
            </w:rPr>
            <w:fldChar w:fldCharType="end"/>
          </w:r>
        </w:sdtContent>
      </w:sdt>
    </w:p>
    <w:p w:rsidR="00ED7DF2" w:rsidRPr="00C24BDE" w:rsidRDefault="00ED7DF2" w:rsidP="00ED7DF2">
      <w:pPr>
        <w:suppressAutoHyphens/>
        <w:autoSpaceDN w:val="0"/>
        <w:bidi/>
        <w:spacing w:line="240" w:lineRule="auto"/>
        <w:jc w:val="lowKashida"/>
        <w:textAlignment w:val="baseline"/>
        <w:rPr>
          <w:rFonts w:ascii="Traditional Arabic" w:eastAsia="Calibri" w:hAnsi="Traditional Arabic" w:cs="Traditional Arabic"/>
          <w:sz w:val="28"/>
          <w:szCs w:val="28"/>
          <w:lang w:bidi="ar-DZ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Pr="00C24BDE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C24BDE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معنى المقاربة بالكفاءات:</w:t>
      </w:r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 هي مقاربة أساسها أهداف معلن عنها في صيغة كفاءات يتم اكتسابها باعتماد محتويات منطقها الأنشطة البدنية كدعامة ثقافية و كذا مكتسبات المراحل التعليمية السابقة و المنهج ( طرق التوصيل و العمل) الذي يرتكز على التلميذ كمحور أساسي في عملية التعلم، تتحول هذه المكتسبات إلى قدرات و معارف و مهارات تؤهل التلميذ للاستعداد لمواجهة تعليمات جديدة ضمن سياق يخدما ما هو منتظر منه في نهاية مرحلة تعلم معينة، أين يكون هذا النشاط دعامة لها ( كفاءة مادية= تكوين خاص) كما يتضمن التعليم عملية شاملة تقتضي إدماج معلمات علمية. و أخرى عملية تساعد في التعرف أكثر على كيفيات حل المشاكل المواجهة </w:t>
      </w:r>
      <w:proofErr w:type="gramStart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>( كفاءة</w:t>
      </w:r>
      <w:proofErr w:type="gramEnd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 عرضية=تكوين شامل).</w:t>
      </w:r>
    </w:p>
    <w:p w:rsidR="00ED7DF2" w:rsidRPr="00C24BDE" w:rsidRDefault="00ED7DF2" w:rsidP="00ED7DF2">
      <w:pPr>
        <w:suppressAutoHyphens/>
        <w:autoSpaceDN w:val="0"/>
        <w:bidi/>
        <w:spacing w:line="240" w:lineRule="auto"/>
        <w:jc w:val="lowKashida"/>
        <w:textAlignment w:val="baseline"/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</w:pPr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يعتبر هذا المنهج التربوي حديثا إذا ما قورن بالتعلم التقليدي الذي يعتمد على محتويات مفادها التلقين </w:t>
      </w:r>
      <w:proofErr w:type="gramStart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>و الحفظ</w:t>
      </w:r>
      <w:proofErr w:type="gramEnd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>، فمسعى هذه المقاربة إذن هو:</w:t>
      </w:r>
    </w:p>
    <w:p w:rsidR="00ED7DF2" w:rsidRPr="00C24BDE" w:rsidRDefault="00ED7DF2" w:rsidP="00ED7DF2">
      <w:pPr>
        <w:suppressAutoHyphens/>
        <w:autoSpaceDN w:val="0"/>
        <w:bidi/>
        <w:spacing w:line="240" w:lineRule="auto"/>
        <w:jc w:val="lowKashida"/>
        <w:textAlignment w:val="baseline"/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</w:pPr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توحيد رؤية التعلم / التعليم من حيث تحقيق أهداف مصاغة على شكل كفاءات قوامها المحتويات و تستلزم محتويات و تحديد الموارد المعرفية و </w:t>
      </w:r>
      <w:proofErr w:type="spellStart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>المهارية</w:t>
      </w:r>
      <w:proofErr w:type="spellEnd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 و السلوكية لتحقيق الملمح المنتظر </w:t>
      </w:r>
      <w:proofErr w:type="gramStart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>( الكفاءة</w:t>
      </w:r>
      <w:proofErr w:type="gramEnd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>) في نهاية مرحلة التعلم.</w:t>
      </w:r>
      <w:sdt>
        <w:sdtPr>
          <w:rPr>
            <w:rFonts w:ascii="Traditional Arabic" w:eastAsia="Calibri" w:hAnsi="Traditional Arabic" w:cs="Traditional Arabic"/>
            <w:sz w:val="28"/>
            <w:szCs w:val="28"/>
            <w:rtl/>
            <w:lang w:bidi="ar-DZ"/>
          </w:rPr>
          <w:id w:val="173386950"/>
          <w:citation/>
        </w:sdtPr>
        <w:sdtContent>
          <w:r w:rsidRPr="00C24BDE">
            <w:rPr>
              <w:rFonts w:ascii="Traditional Arabic" w:eastAsia="Calibri" w:hAnsi="Traditional Arabic" w:cs="Traditional Arabic"/>
              <w:sz w:val="28"/>
              <w:szCs w:val="28"/>
              <w:rtl/>
              <w:lang w:bidi="ar-DZ"/>
            </w:rPr>
            <w:fldChar w:fldCharType="begin"/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lang w:bidi="ar-DZ"/>
            </w:rPr>
            <w:instrText>CITATION</w:instrText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rtl/>
              <w:lang w:bidi="ar-DZ"/>
            </w:rPr>
            <w:instrText xml:space="preserve"> محم04 \</w:instrText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lang w:bidi="ar-DZ"/>
            </w:rPr>
            <w:instrText>p 23 \l 5121</w:instrText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rtl/>
              <w:lang w:bidi="ar-DZ"/>
            </w:rPr>
            <w:fldChar w:fldCharType="separate"/>
          </w:r>
          <w:r w:rsidRPr="00C24BDE">
            <w:rPr>
              <w:rFonts w:ascii="Traditional Arabic" w:eastAsia="Calibri" w:hAnsi="Traditional Arabic" w:cs="Traditional Arabic"/>
              <w:noProof/>
              <w:sz w:val="28"/>
              <w:szCs w:val="28"/>
              <w:rtl/>
              <w:lang w:bidi="ar-DZ"/>
            </w:rPr>
            <w:t xml:space="preserve"> (محمد بوعلاق، 2004، صفحة 23)</w:t>
          </w:r>
          <w:r w:rsidRPr="00C24BDE">
            <w:rPr>
              <w:rFonts w:ascii="Traditional Arabic" w:eastAsia="Calibri" w:hAnsi="Traditional Arabic" w:cs="Traditional Arabic"/>
              <w:sz w:val="28"/>
              <w:szCs w:val="28"/>
              <w:rtl/>
              <w:lang w:bidi="ar-DZ"/>
            </w:rPr>
            <w:fldChar w:fldCharType="end"/>
          </w:r>
        </w:sdtContent>
      </w:sdt>
    </w:p>
    <w:p w:rsidR="00ED7DF2" w:rsidRPr="00C24BDE" w:rsidRDefault="00ED7DF2" w:rsidP="00ED7DF2">
      <w:pPr>
        <w:suppressAutoHyphens/>
        <w:autoSpaceDN w:val="0"/>
        <w:bidi/>
        <w:spacing w:line="240" w:lineRule="auto"/>
        <w:jc w:val="lowKashida"/>
        <w:textAlignment w:val="baseline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3</w:t>
      </w:r>
      <w:r w:rsidRPr="00C24BDE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 xml:space="preserve">-  </w:t>
      </w:r>
      <w:proofErr w:type="gramEnd"/>
      <w:r w:rsidRPr="00C24BDE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مبادئ المقاربة بالكفاءات:</w:t>
      </w:r>
    </w:p>
    <w:p w:rsidR="00ED7DF2" w:rsidRPr="00C24BDE" w:rsidRDefault="00ED7DF2" w:rsidP="00ED7DF2">
      <w:pPr>
        <w:suppressAutoHyphens/>
        <w:autoSpaceDN w:val="0"/>
        <w:bidi/>
        <w:spacing w:line="240" w:lineRule="auto"/>
        <w:jc w:val="lowKashida"/>
        <w:textAlignment w:val="baseline"/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</w:pPr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>تتلخص مبادئ المقاربة بالكفاءات في الجدول التالي:</w:t>
      </w:r>
    </w:p>
    <w:p w:rsidR="00ED7DF2" w:rsidRPr="00C24BDE" w:rsidRDefault="00ED7DF2" w:rsidP="00ED7DF2">
      <w:pPr>
        <w:suppressAutoHyphens/>
        <w:autoSpaceDN w:val="0"/>
        <w:bidi/>
        <w:spacing w:line="240" w:lineRule="auto"/>
        <w:jc w:val="lowKashida"/>
        <w:textAlignment w:val="baseline"/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</w:pPr>
      <w:r w:rsidRPr="00C24BDE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 xml:space="preserve">الجدول </w:t>
      </w:r>
      <w:r w:rsidRPr="00C24BDE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رقم (</w:t>
      </w:r>
      <w:proofErr w:type="gramStart"/>
      <w:r w:rsidRPr="00C24BDE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2)</w:t>
      </w:r>
      <w:r w:rsidRPr="00C24BDE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يوضح</w:t>
      </w:r>
      <w:proofErr w:type="gramEnd"/>
      <w:r w:rsidRPr="00C24BDE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 xml:space="preserve"> مبادئ منهاج المقاربة بالكفاءات</w:t>
      </w:r>
      <w:sdt>
        <w:sdtPr>
          <w:rPr>
            <w:rFonts w:ascii="Traditional Arabic" w:eastAsia="Calibri" w:hAnsi="Traditional Arabic" w:cs="Traditional Arabic"/>
            <w:b/>
            <w:bCs/>
            <w:sz w:val="28"/>
            <w:szCs w:val="28"/>
            <w:rtl/>
            <w:lang w:bidi="ar-DZ"/>
          </w:rPr>
          <w:id w:val="1398634403"/>
          <w:citation/>
        </w:sdtPr>
        <w:sdtContent>
          <w:r w:rsidRPr="00C24BDE"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  <w:lang w:bidi="ar-DZ"/>
            </w:rPr>
            <w:fldChar w:fldCharType="begin"/>
          </w:r>
          <w:r w:rsidRPr="00C24BDE"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lang w:bidi="ar-DZ"/>
            </w:rPr>
            <w:instrText xml:space="preserve">CITATION </w:instrText>
          </w:r>
          <w:r w:rsidRPr="00C24BDE"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  <w:lang w:bidi="ar-DZ"/>
            </w:rPr>
            <w:instrText>أحم91</w:instrText>
          </w:r>
          <w:r w:rsidRPr="00C24BDE"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lang w:bidi="ar-DZ"/>
            </w:rPr>
            <w:instrText xml:space="preserve"> \p 54 \l 5121 </w:instrText>
          </w:r>
          <w:r w:rsidRPr="00C24BDE"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  <w:lang w:bidi="ar-DZ"/>
            </w:rPr>
            <w:fldChar w:fldCharType="separate"/>
          </w:r>
          <w:r w:rsidRPr="00C24BDE">
            <w:rPr>
              <w:rFonts w:ascii="Traditional Arabic" w:eastAsia="Calibri" w:hAnsi="Traditional Arabic" w:cs="Traditional Arabic" w:hint="cs"/>
              <w:noProof/>
              <w:sz w:val="28"/>
              <w:szCs w:val="28"/>
              <w:rtl/>
              <w:lang w:bidi="ar-DZ"/>
            </w:rPr>
            <w:t>(أحمد شبشوب، 1991، صفحة 54)</w:t>
          </w:r>
          <w:r w:rsidRPr="00C24BDE"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  <w:lang w:bidi="ar-DZ"/>
            </w:rPr>
            <w:fldChar w:fldCharType="end"/>
          </w:r>
        </w:sdtContent>
      </w:sdt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19"/>
        <w:gridCol w:w="4521"/>
      </w:tblGrid>
      <w:tr w:rsidR="00ED7DF2" w:rsidRPr="00C24BDE" w:rsidTr="00B11597">
        <w:tc>
          <w:tcPr>
            <w:tcW w:w="4606" w:type="dxa"/>
            <w:vAlign w:val="center"/>
          </w:tcPr>
          <w:p w:rsidR="00ED7DF2" w:rsidRPr="00C24BDE" w:rsidRDefault="00ED7DF2" w:rsidP="00B11597">
            <w:pPr>
              <w:suppressAutoHyphens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24BD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مبادئ المقاربة بالكفاءات</w:t>
            </w:r>
          </w:p>
          <w:p w:rsidR="00ED7DF2" w:rsidRPr="00C24BDE" w:rsidRDefault="00ED7DF2" w:rsidP="00B11597">
            <w:pPr>
              <w:suppressAutoHyphens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606" w:type="dxa"/>
            <w:vAlign w:val="center"/>
          </w:tcPr>
          <w:p w:rsidR="00ED7DF2" w:rsidRPr="00C24BDE" w:rsidRDefault="00ED7DF2" w:rsidP="00B11597">
            <w:pPr>
              <w:suppressAutoHyphens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C24BD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الانعكاسات البيداغوجية للمبادئ</w:t>
            </w:r>
          </w:p>
          <w:p w:rsidR="00ED7DF2" w:rsidRPr="00C24BDE" w:rsidRDefault="00ED7DF2" w:rsidP="00B11597">
            <w:pPr>
              <w:suppressAutoHyphens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D7DF2" w:rsidRPr="00C24BDE" w:rsidTr="00B11597">
        <w:tc>
          <w:tcPr>
            <w:tcW w:w="4606" w:type="dxa"/>
            <w:vAlign w:val="center"/>
          </w:tcPr>
          <w:p w:rsidR="00ED7DF2" w:rsidRPr="00C24BDE" w:rsidRDefault="00ED7DF2" w:rsidP="00ED7DF2">
            <w:pPr>
              <w:numPr>
                <w:ilvl w:val="0"/>
                <w:numId w:val="1"/>
              </w:numPr>
              <w:suppressAutoHyphens/>
              <w:bidi/>
              <w:ind w:left="501"/>
              <w:contextualSpacing/>
              <w:jc w:val="lowKashida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الكل يفوق مجموعة الأجزاء</w:t>
            </w:r>
          </w:p>
        </w:tc>
        <w:tc>
          <w:tcPr>
            <w:tcW w:w="4606" w:type="dxa"/>
            <w:vAlign w:val="center"/>
          </w:tcPr>
          <w:p w:rsidR="00ED7DF2" w:rsidRPr="00C24BDE" w:rsidRDefault="00ED7DF2" w:rsidP="00ED7DF2">
            <w:pPr>
              <w:numPr>
                <w:ilvl w:val="0"/>
                <w:numId w:val="1"/>
              </w:numPr>
              <w:suppressAutoHyphens/>
              <w:bidi/>
              <w:ind w:left="501"/>
              <w:contextualSpacing/>
              <w:jc w:val="lowKashida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الاعتماد على الادماج كمبدأ من مبادئ التعلم</w:t>
            </w:r>
          </w:p>
        </w:tc>
      </w:tr>
      <w:tr w:rsidR="00ED7DF2" w:rsidRPr="00C24BDE" w:rsidTr="00B11597">
        <w:tc>
          <w:tcPr>
            <w:tcW w:w="4606" w:type="dxa"/>
            <w:vAlign w:val="center"/>
          </w:tcPr>
          <w:p w:rsidR="00ED7DF2" w:rsidRPr="00C24BDE" w:rsidRDefault="00ED7DF2" w:rsidP="00ED7DF2">
            <w:pPr>
              <w:numPr>
                <w:ilvl w:val="0"/>
                <w:numId w:val="1"/>
              </w:numPr>
              <w:suppressAutoHyphens/>
              <w:bidi/>
              <w:ind w:left="501"/>
              <w:contextualSpacing/>
              <w:jc w:val="lowKashida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ليس للكل نفس الأهمية</w:t>
            </w:r>
          </w:p>
        </w:tc>
        <w:tc>
          <w:tcPr>
            <w:tcW w:w="4606" w:type="dxa"/>
            <w:vAlign w:val="center"/>
          </w:tcPr>
          <w:p w:rsidR="00ED7DF2" w:rsidRPr="00C24BDE" w:rsidRDefault="00ED7DF2" w:rsidP="00ED7DF2">
            <w:pPr>
              <w:numPr>
                <w:ilvl w:val="0"/>
                <w:numId w:val="1"/>
              </w:numPr>
              <w:suppressAutoHyphens/>
              <w:bidi/>
              <w:ind w:left="501"/>
              <w:contextualSpacing/>
              <w:jc w:val="lowKashida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بعض التعليمات أهم من غيرها، حل الوضعية أهم من حذف الآلية</w:t>
            </w:r>
          </w:p>
        </w:tc>
      </w:tr>
      <w:tr w:rsidR="00ED7DF2" w:rsidRPr="00C24BDE" w:rsidTr="00B11597">
        <w:tc>
          <w:tcPr>
            <w:tcW w:w="4606" w:type="dxa"/>
            <w:vAlign w:val="center"/>
          </w:tcPr>
          <w:p w:rsidR="00ED7DF2" w:rsidRPr="00C24BDE" w:rsidRDefault="00ED7DF2" w:rsidP="00ED7DF2">
            <w:pPr>
              <w:numPr>
                <w:ilvl w:val="0"/>
                <w:numId w:val="1"/>
              </w:numPr>
              <w:suppressAutoHyphens/>
              <w:bidi/>
              <w:ind w:left="501"/>
              <w:contextualSpacing/>
              <w:jc w:val="lowKashida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lastRenderedPageBreak/>
              <w:t>حتى الأكثر كفاءة يخطأ</w:t>
            </w:r>
          </w:p>
        </w:tc>
        <w:tc>
          <w:tcPr>
            <w:tcW w:w="4606" w:type="dxa"/>
            <w:vAlign w:val="center"/>
          </w:tcPr>
          <w:p w:rsidR="00ED7DF2" w:rsidRPr="00C24BDE" w:rsidRDefault="00ED7DF2" w:rsidP="00ED7DF2">
            <w:pPr>
              <w:numPr>
                <w:ilvl w:val="0"/>
                <w:numId w:val="1"/>
              </w:numPr>
              <w:suppressAutoHyphens/>
              <w:bidi/>
              <w:ind w:left="501"/>
              <w:contextualSpacing/>
              <w:jc w:val="lowKashida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للخطأ مكانة إيجابية في عملية التعلم، الخطأ يكشف عن صعوبة في التعلم لابد من التعرف عليها.</w:t>
            </w:r>
          </w:p>
        </w:tc>
      </w:tr>
      <w:tr w:rsidR="00ED7DF2" w:rsidRPr="00C24BDE" w:rsidTr="00B11597">
        <w:tc>
          <w:tcPr>
            <w:tcW w:w="4606" w:type="dxa"/>
            <w:vAlign w:val="center"/>
          </w:tcPr>
          <w:p w:rsidR="00ED7DF2" w:rsidRPr="00C24BDE" w:rsidRDefault="00ED7DF2" w:rsidP="00ED7DF2">
            <w:pPr>
              <w:numPr>
                <w:ilvl w:val="0"/>
                <w:numId w:val="1"/>
              </w:numPr>
              <w:suppressAutoHyphens/>
              <w:bidi/>
              <w:ind w:left="501"/>
              <w:contextualSpacing/>
              <w:jc w:val="lowKashida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 xml:space="preserve">ما يميز الخبير عن غيره: قدرته على التشخيص </w:t>
            </w:r>
            <w:proofErr w:type="gramStart"/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و جدواه</w:t>
            </w:r>
            <w:proofErr w:type="gramEnd"/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 xml:space="preserve"> في العلاج</w:t>
            </w:r>
          </w:p>
        </w:tc>
        <w:tc>
          <w:tcPr>
            <w:tcW w:w="4606" w:type="dxa"/>
            <w:vAlign w:val="center"/>
          </w:tcPr>
          <w:p w:rsidR="00ED7DF2" w:rsidRPr="00C24BDE" w:rsidRDefault="00ED7DF2" w:rsidP="00ED7DF2">
            <w:pPr>
              <w:numPr>
                <w:ilvl w:val="0"/>
                <w:numId w:val="1"/>
              </w:numPr>
              <w:suppressAutoHyphens/>
              <w:bidi/>
              <w:ind w:left="501"/>
              <w:contextualSpacing/>
              <w:jc w:val="lowKashida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 xml:space="preserve">المعلم الخبير لا يعلم فقط بل يعالج خاصة </w:t>
            </w:r>
            <w:proofErr w:type="gramStart"/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( تحديد</w:t>
            </w:r>
            <w:proofErr w:type="gramEnd"/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 xml:space="preserve"> مصادر الخطأ يساعد على بناء جهاز علاجي ناجح)</w:t>
            </w:r>
          </w:p>
        </w:tc>
      </w:tr>
      <w:tr w:rsidR="00ED7DF2" w:rsidRPr="00C24BDE" w:rsidTr="00B11597">
        <w:tc>
          <w:tcPr>
            <w:tcW w:w="4606" w:type="dxa"/>
            <w:vAlign w:val="center"/>
          </w:tcPr>
          <w:p w:rsidR="00ED7DF2" w:rsidRPr="00C24BDE" w:rsidRDefault="00ED7DF2" w:rsidP="00ED7DF2">
            <w:pPr>
              <w:numPr>
                <w:ilvl w:val="0"/>
                <w:numId w:val="1"/>
              </w:numPr>
              <w:suppressAutoHyphens/>
              <w:bidi/>
              <w:ind w:left="501"/>
              <w:contextualSpacing/>
              <w:jc w:val="lowKashida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ما يتم في وضعيات دالة بالنسبة إلى المتعلم يبقى أثره مع مرور الزمن</w:t>
            </w:r>
          </w:p>
        </w:tc>
        <w:tc>
          <w:tcPr>
            <w:tcW w:w="4606" w:type="dxa"/>
            <w:vAlign w:val="center"/>
          </w:tcPr>
          <w:p w:rsidR="00ED7DF2" w:rsidRPr="00C24BDE" w:rsidRDefault="00ED7DF2" w:rsidP="00ED7DF2">
            <w:pPr>
              <w:numPr>
                <w:ilvl w:val="0"/>
                <w:numId w:val="1"/>
              </w:numPr>
              <w:suppressAutoHyphens/>
              <w:bidi/>
              <w:ind w:left="501"/>
              <w:contextualSpacing/>
              <w:jc w:val="lowKashida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 w:bidi="ar-DZ"/>
              </w:rPr>
            </w:pPr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حياة الطفل منبع أساسي في التعليمات المستديمة</w:t>
            </w:r>
          </w:p>
          <w:p w:rsidR="00ED7DF2" w:rsidRPr="00C24BDE" w:rsidRDefault="00ED7DF2" w:rsidP="00B11597">
            <w:pPr>
              <w:bidi/>
              <w:ind w:left="501"/>
              <w:contextualSpacing/>
              <w:jc w:val="lowKashida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</w:pPr>
            <w:proofErr w:type="gramStart"/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>( المقاربة</w:t>
            </w:r>
            <w:proofErr w:type="gramEnd"/>
            <w:r w:rsidRPr="00C24BD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 w:bidi="ar-DZ"/>
              </w:rPr>
              <w:t xml:space="preserve"> بالمشروع تعطي معنى للتعليمات)</w:t>
            </w:r>
          </w:p>
        </w:tc>
      </w:tr>
    </w:tbl>
    <w:p w:rsidR="00ED7DF2" w:rsidRPr="00C24BDE" w:rsidRDefault="00ED7DF2" w:rsidP="00ED7DF2">
      <w:pPr>
        <w:suppressAutoHyphens/>
        <w:autoSpaceDN w:val="0"/>
        <w:bidi/>
        <w:spacing w:line="240" w:lineRule="auto"/>
        <w:jc w:val="lowKashida"/>
        <w:textAlignment w:val="baseline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4</w:t>
      </w:r>
      <w:r w:rsidRPr="00C24BDE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-خصائص المقاربة بالكفاءات:</w:t>
      </w:r>
    </w:p>
    <w:p w:rsidR="00ED7DF2" w:rsidRPr="00C24BDE" w:rsidRDefault="00ED7DF2" w:rsidP="00ED7DF2">
      <w:pPr>
        <w:suppressAutoHyphens/>
        <w:autoSpaceDN w:val="0"/>
        <w:bidi/>
        <w:spacing w:line="240" w:lineRule="auto"/>
        <w:jc w:val="lowKashida"/>
        <w:textAlignment w:val="baseline"/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</w:pPr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يعد التعلم بالكفاءات المستند إلى مشكلة بديلا للممارسة التقليدية، </w:t>
      </w:r>
      <w:proofErr w:type="gramStart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>و الذي</w:t>
      </w:r>
      <w:proofErr w:type="gramEnd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 يقوم على نظريات سلوكية تعتبر التعليم عملية تفاعلية تنطلق من واقع التلميذ و يمكن تلخيص خصائص المقاربة بالكفاءات كما يلي: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توفير سؤال أو مشكلة تواجه التعليم، بمعنى عوض أن تنظم الدروس حول مبادئ أكاديمية بحتة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و مهارات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معينة، فالتعليم بالمشكلة ينظم التعلم حول أسئلة و مشكلات هامة اجتماعيا ذات مغزى شخصي للمتعلمين، كما يتناول مواقف حياتية حقيقية أصلية لا </w:t>
      </w:r>
      <w:r w:rsidRPr="00C24BDE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تر</w:t>
      </w: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قى بالإجابات البسيطة إلى مستواها ولا تناسبها و توفر حلول و بدائل متعددة.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العمل التفاعلي، إذ يمارس التعلم بمشكلات في جو تفاعلي هادف، يختلف عن </w:t>
      </w:r>
      <w:r w:rsidRPr="00C24BDE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الأجواء</w:t>
      </w: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التقليدية التي تستهلك فيها معظم الأوقات في الإصغاء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و الصمت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و المواقف السلبية التي تحول دون التعلم الفاعل المجدي.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توفير الظروف الكفيلة بضمان استمرارية العمل المنظم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و السماح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بمراقبته و التأكد من مدى تقدمه.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اعتماد أسلوب العمل بأفواج صغيرة بحيث يجد المتعلم في عملة الفوج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( المنجز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بالضرورة بصفة فردية ) دافعية تتضمن اندماجية  في المهام المركبة و يحسن فرص المشاركة في البحث و الاستقصاء و الحوار لتنمية تفكيره و مهاراته الاجتماعية.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إنتاج</w:t>
      </w: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المنتجات لأن المتعلمين مطالبون فيه بصناعة أشياء و عرضها، و كثرة الحلول </w:t>
      </w:r>
      <w:proofErr w:type="spell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المتوصل</w:t>
      </w:r>
      <w:proofErr w:type="spell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إليها و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تصويرها ،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أو تقديم عرض تاريخي قد يكون الناتج متنوعا إعلاميا أو دراسة أكاديمية لظاهرة ما من الظواهر.</w:t>
      </w:r>
      <w:sdt>
        <w:sdtPr>
          <w:rPr>
            <w:rFonts w:ascii="Traditional Arabic" w:eastAsia="Times New Roman" w:hAnsi="Traditional Arabic" w:cs="Traditional Arabic"/>
            <w:sz w:val="28"/>
            <w:szCs w:val="28"/>
            <w:rtl/>
            <w:lang w:eastAsia="fr-FR" w:bidi="ar-DZ"/>
          </w:rPr>
          <w:id w:val="-1855562358"/>
          <w:citation/>
        </w:sdtPr>
        <w:sdtContent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rtl/>
              <w:lang w:eastAsia="fr-FR" w:bidi="ar-DZ"/>
            </w:rPr>
            <w:fldChar w:fldCharType="begin"/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lang w:eastAsia="fr-FR" w:bidi="ar-DZ"/>
            </w:rPr>
            <w:instrText xml:space="preserve">CITATION </w:instrText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rtl/>
              <w:lang w:eastAsia="fr-FR" w:bidi="ar-DZ"/>
            </w:rPr>
            <w:instrText>مصط04</w:instrText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lang w:eastAsia="fr-FR" w:bidi="ar-DZ"/>
            </w:rPr>
            <w:instrText xml:space="preserve"> \p 09 \l 5121 </w:instrText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rtl/>
              <w:lang w:eastAsia="fr-FR" w:bidi="ar-DZ"/>
            </w:rPr>
            <w:fldChar w:fldCharType="separate"/>
          </w:r>
          <w:r w:rsidRPr="00C24BDE">
            <w:rPr>
              <w:rFonts w:ascii="Traditional Arabic" w:eastAsia="Times New Roman" w:hAnsi="Traditional Arabic" w:cs="Traditional Arabic" w:hint="cs"/>
              <w:noProof/>
              <w:sz w:val="28"/>
              <w:szCs w:val="28"/>
              <w:rtl/>
              <w:lang w:eastAsia="fr-FR" w:bidi="ar-DZ"/>
            </w:rPr>
            <w:t>(مصطفى بن حبيلس، 2004، صفحة 09)</w:t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rtl/>
              <w:lang w:eastAsia="fr-FR" w:bidi="ar-DZ"/>
            </w:rPr>
            <w:fldChar w:fldCharType="end"/>
          </w:r>
        </w:sdtContent>
      </w:sdt>
    </w:p>
    <w:p w:rsidR="00ED7DF2" w:rsidRPr="00C24BDE" w:rsidRDefault="00ED7DF2" w:rsidP="00ED7DF2">
      <w:pPr>
        <w:suppressAutoHyphens/>
        <w:autoSpaceDN w:val="0"/>
        <w:bidi/>
        <w:spacing w:line="240" w:lineRule="auto"/>
        <w:ind w:left="141"/>
        <w:jc w:val="lowKashida"/>
        <w:textAlignment w:val="baseline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5</w:t>
      </w:r>
      <w:r w:rsidRPr="00C24BDE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- أسس</w:t>
      </w:r>
      <w:proofErr w:type="gramEnd"/>
      <w:r w:rsidRPr="00C24BDE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 xml:space="preserve"> المقاربة بالكفاءات:</w:t>
      </w:r>
    </w:p>
    <w:p w:rsidR="00ED7DF2" w:rsidRPr="00C24BDE" w:rsidRDefault="00ED7DF2" w:rsidP="00ED7DF2">
      <w:pPr>
        <w:suppressAutoHyphens/>
        <w:autoSpaceDN w:val="0"/>
        <w:bidi/>
        <w:spacing w:line="240" w:lineRule="auto"/>
        <w:ind w:left="141"/>
        <w:jc w:val="lowKashida"/>
        <w:textAlignment w:val="baseline"/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</w:pPr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>تتمثل أسس المقاربة بالكفاءات فيما يلي: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يقع الدخل إلى التعلم عن طريق الكفاءات في سياق الانتقال من منطق التعليم الذي يركز على المتعلم، و يجعل دوره محوريا في الفعل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التربوي</w:t>
      </w:r>
      <w:sdt>
        <w:sdtPr>
          <w:rPr>
            <w:rFonts w:ascii="Traditional Arabic" w:eastAsia="Times New Roman" w:hAnsi="Traditional Arabic" w:cs="Traditional Arabic"/>
            <w:sz w:val="28"/>
            <w:szCs w:val="28"/>
            <w:rtl/>
            <w:lang w:eastAsia="fr-FR" w:bidi="ar-DZ"/>
          </w:rPr>
          <w:id w:val="-73050441"/>
          <w:citation/>
        </w:sdtPr>
        <w:sdtContent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rtl/>
              <w:lang w:eastAsia="fr-FR" w:bidi="ar-DZ"/>
            </w:rPr>
            <w:fldChar w:fldCharType="begin"/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lang w:eastAsia="fr-FR" w:bidi="ar-DZ"/>
            </w:rPr>
            <w:instrText xml:space="preserve">CITATION </w:instrText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rtl/>
              <w:lang w:eastAsia="fr-FR" w:bidi="ar-DZ"/>
            </w:rPr>
            <w:instrText>محم99</w:instrText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lang w:eastAsia="fr-FR" w:bidi="ar-DZ"/>
            </w:rPr>
            <w:instrText xml:space="preserve"> \p 31 \l 5121 </w:instrText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rtl/>
              <w:lang w:eastAsia="fr-FR" w:bidi="ar-DZ"/>
            </w:rPr>
            <w:fldChar w:fldCharType="separate"/>
          </w:r>
          <w:r w:rsidRPr="00C24BDE">
            <w:rPr>
              <w:rFonts w:ascii="Traditional Arabic" w:eastAsia="Times New Roman" w:hAnsi="Traditional Arabic" w:cs="Traditional Arabic" w:hint="cs"/>
              <w:noProof/>
              <w:sz w:val="28"/>
              <w:szCs w:val="28"/>
              <w:rtl/>
              <w:lang w:eastAsia="fr-FR" w:bidi="ar-DZ"/>
            </w:rPr>
            <w:t>(</w:t>
          </w:r>
          <w:proofErr w:type="gramEnd"/>
          <w:r w:rsidRPr="00C24BDE">
            <w:rPr>
              <w:rFonts w:ascii="Traditional Arabic" w:eastAsia="Times New Roman" w:hAnsi="Traditional Arabic" w:cs="Traditional Arabic" w:hint="cs"/>
              <w:noProof/>
              <w:sz w:val="28"/>
              <w:szCs w:val="28"/>
              <w:rtl/>
              <w:lang w:eastAsia="fr-FR" w:bidi="ar-DZ"/>
            </w:rPr>
            <w:t>محمد صالح الحثروبي، 2002، صفحة 31)</w:t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rtl/>
              <w:lang w:eastAsia="fr-FR" w:bidi="ar-DZ"/>
            </w:rPr>
            <w:fldChar w:fldCharType="end"/>
          </w:r>
        </w:sdtContent>
      </w:sdt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تحتل المعرفة في هذه المقابلة دور الوسيلة التي تتضمن الأهداف و المستويات من التربية وهي بذلك تندمج ضمن وسائل متعددة تعالج في إطار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شامل،  و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تتكفل بالأنشطة، و تبرز التكامل بينهما.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تسمح المقاربة عن طريق الكفاءات بتجاوز الواقع الحالي المعتمد فيه على الحفظ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و السماع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و حل منهج المواد الدراسية المفصلة.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يتفادى هذا الطرح التجزئة الحالية التي تقع على الفعل التعليمي/ </w:t>
      </w:r>
      <w:proofErr w:type="spell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التعلمي</w:t>
      </w:r>
      <w:proofErr w:type="spell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المهتم أساسا بنواتج التعليم، لتفهم متابعة العمليات العقلية المعقدة التي توافق الفعل باعتباره كما لا متناهيا من </w:t>
      </w:r>
      <w:proofErr w:type="spell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السيرورات</w:t>
      </w:r>
      <w:proofErr w:type="spell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المتداخلة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و المترابطة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و المنسجمة فيما بينها يمكن اعتماد المقاربة بالكفاءات في التدريس من الاهتمام بالخبرة التربوية لاكتساب عادات جديدة و سليمة و تنمية المهارات المختلفة و الميول مع ربط البيئة بمواضيع دراسة التلميذ و حاجاته الضرورية.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يؤدي بناء المناهج بهذه الكيفية إلى إعطاء مرونة أكثر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و قابلية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أكبر في الانفتاح على كل جديد في المعرفة و كل ما له علاقة بنمو شخصية المتعلم.</w:t>
      </w:r>
    </w:p>
    <w:p w:rsidR="00ED7DF2" w:rsidRPr="00C24BDE" w:rsidRDefault="00ED7DF2" w:rsidP="00ED7DF2">
      <w:pPr>
        <w:suppressAutoHyphens/>
        <w:autoSpaceDN w:val="0"/>
        <w:bidi/>
        <w:spacing w:line="240" w:lineRule="auto"/>
        <w:ind w:left="141"/>
        <w:jc w:val="lowKashida"/>
        <w:textAlignment w:val="baseline"/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</w:pPr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lastRenderedPageBreak/>
        <w:t xml:space="preserve">يستجيب مقاربة الكفاءات للتغيرات الكبرى الحاصلة في المحيط الاقتصادي و الثقافي كما تتوخى الوصول إلى مواطن </w:t>
      </w:r>
      <w:proofErr w:type="gramStart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>ما ،</w:t>
      </w:r>
      <w:proofErr w:type="gramEnd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 يترك التعلم فيه أثر ايجابيا يمكنه من مجابهة و معالجة مشكلات حياته.</w:t>
      </w:r>
    </w:p>
    <w:p w:rsidR="00ED7DF2" w:rsidRPr="00C24BDE" w:rsidRDefault="00ED7DF2" w:rsidP="00ED7DF2">
      <w:pPr>
        <w:suppressAutoHyphens/>
        <w:autoSpaceDN w:val="0"/>
        <w:bidi/>
        <w:spacing w:line="240" w:lineRule="auto"/>
        <w:ind w:left="141"/>
        <w:jc w:val="lowKashida"/>
        <w:textAlignment w:val="baseline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6</w:t>
      </w:r>
      <w:r w:rsidRPr="00C24BDE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- أهداف</w:t>
      </w:r>
      <w:proofErr w:type="gramEnd"/>
      <w:r w:rsidRPr="00C24BDE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 xml:space="preserve"> المقاربة بالكفاءات </w:t>
      </w:r>
    </w:p>
    <w:p w:rsidR="00ED7DF2" w:rsidRPr="00C24BDE" w:rsidRDefault="00ED7DF2" w:rsidP="00ED7DF2">
      <w:pPr>
        <w:suppressAutoHyphens/>
        <w:autoSpaceDN w:val="0"/>
        <w:bidi/>
        <w:spacing w:line="240" w:lineRule="auto"/>
        <w:ind w:left="141"/>
        <w:jc w:val="lowKashida"/>
        <w:textAlignment w:val="baseline"/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</w:pPr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إن المقاربة بالكفاءات كتصور </w:t>
      </w:r>
      <w:proofErr w:type="gramStart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>و منهج</w:t>
      </w:r>
      <w:proofErr w:type="gramEnd"/>
      <w:r w:rsidRPr="00C24BDE"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  <w:t xml:space="preserve"> لتنظيم العملية التعليمية تعمل على تحقيق جملة من الأهداف نذكر منها: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فسح المجال </w:t>
      </w:r>
      <w:r w:rsidRPr="00C24BDE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أمام</w:t>
      </w: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ما لدى المتعلم من طاقات كامنة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و قدرات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لتظهر و تتفتح و تعرف عن ذاتها.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بلورة استعداداته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و توجيهها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في الاتجاهات التي تتناسب و ما تيسره له الفطرة.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تدريبه على كفاءات التفكير المتشعب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و الربط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بين المعارف في المجال الواحد و الاشتقاق من الحقوق المعرفية المختلفة عند سعيه في حل مشكلة أو مناقشة أو مواجهة وضعية.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تجسيد الكفاءات المتنوعة التي تكسبها من تعلمه في سياقات واقعية.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زيادة قدراته على إدراك تكامل المعرفة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و التبصر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بالتداخل و الاندماج بين الحقول المعرفية المختلفة.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سبر الحقائق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و دقة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التحقيق و جودة البحث و حجة الاستنتاج. </w:t>
      </w:r>
      <w:sdt>
        <w:sdtPr>
          <w:rPr>
            <w:rFonts w:ascii="Traditional Arabic" w:eastAsia="Times New Roman" w:hAnsi="Traditional Arabic" w:cs="Traditional Arabic"/>
            <w:sz w:val="28"/>
            <w:szCs w:val="28"/>
            <w:rtl/>
            <w:lang w:eastAsia="fr-FR" w:bidi="ar-DZ"/>
          </w:rPr>
          <w:id w:val="-1378847388"/>
          <w:citation/>
        </w:sdtPr>
        <w:sdtContent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rtl/>
              <w:lang w:eastAsia="fr-FR" w:bidi="ar-DZ"/>
            </w:rPr>
            <w:fldChar w:fldCharType="begin"/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lang w:eastAsia="fr-FR" w:bidi="ar-DZ"/>
            </w:rPr>
            <w:instrText xml:space="preserve">CITATION </w:instrText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rtl/>
              <w:lang w:eastAsia="fr-FR" w:bidi="ar-DZ"/>
            </w:rPr>
            <w:instrText>حاج</w:instrText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lang w:eastAsia="fr-FR" w:bidi="ar-DZ"/>
            </w:rPr>
            <w:instrText xml:space="preserve"> \p 23 \l 5121 </w:instrText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rtl/>
              <w:lang w:eastAsia="fr-FR" w:bidi="ar-DZ"/>
            </w:rPr>
            <w:fldChar w:fldCharType="separate"/>
          </w:r>
          <w:r w:rsidRPr="00C24BDE">
            <w:rPr>
              <w:rFonts w:ascii="Traditional Arabic" w:eastAsia="Times New Roman" w:hAnsi="Traditional Arabic" w:cs="Traditional Arabic" w:hint="cs"/>
              <w:noProof/>
              <w:sz w:val="28"/>
              <w:szCs w:val="28"/>
              <w:rtl/>
              <w:lang w:eastAsia="fr-FR" w:bidi="ar-DZ"/>
            </w:rPr>
            <w:t>(حاجي فريد، 2004، صفحة 23)</w:t>
          </w:r>
          <w:r w:rsidRPr="00C24BDE">
            <w:rPr>
              <w:rFonts w:ascii="Traditional Arabic" w:eastAsia="Times New Roman" w:hAnsi="Traditional Arabic" w:cs="Traditional Arabic"/>
              <w:sz w:val="28"/>
              <w:szCs w:val="28"/>
              <w:rtl/>
              <w:lang w:eastAsia="fr-FR" w:bidi="ar-DZ"/>
            </w:rPr>
            <w:fldChar w:fldCharType="end"/>
          </w:r>
        </w:sdtContent>
      </w:sdt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استخدام </w:t>
      </w:r>
      <w:r w:rsidRPr="00C24BDE">
        <w:rPr>
          <w:rFonts w:ascii="Traditional Arabic" w:eastAsia="Times New Roman" w:hAnsi="Traditional Arabic" w:cs="Traditional Arabic" w:hint="cs"/>
          <w:sz w:val="28"/>
          <w:szCs w:val="28"/>
          <w:rtl/>
          <w:lang w:eastAsia="fr-FR" w:bidi="ar-DZ"/>
        </w:rPr>
        <w:t>أدوات</w:t>
      </w: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منهجية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و مصادر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تعليمية متعددة لمعرفة ما يدرسه.</w:t>
      </w:r>
    </w:p>
    <w:p w:rsidR="00ED7DF2" w:rsidRPr="00C24BDE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القدرة على تكوين نظرة شاملة للأمور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و الظواهر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المختلفة التي تحيط به.</w:t>
      </w:r>
    </w:p>
    <w:p w:rsidR="00ED7DF2" w:rsidRDefault="00ED7DF2" w:rsidP="00ED7DF2">
      <w:pPr>
        <w:numPr>
          <w:ilvl w:val="0"/>
          <w:numId w:val="1"/>
        </w:numPr>
        <w:suppressAutoHyphens/>
        <w:autoSpaceDN w:val="0"/>
        <w:bidi/>
        <w:spacing w:after="200" w:line="240" w:lineRule="auto"/>
        <w:ind w:left="501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الاستبصار </w:t>
      </w:r>
      <w:proofErr w:type="gramStart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و الوعي</w:t>
      </w:r>
      <w:proofErr w:type="gramEnd"/>
      <w:r w:rsidRPr="00C24BDE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 xml:space="preserve"> بدور العلم و التعلم في تغيير الواقع و تحسين نوعية الحياة.</w:t>
      </w:r>
    </w:p>
    <w:p w:rsidR="00ED7DF2" w:rsidRDefault="00ED7DF2" w:rsidP="00ED7DF2">
      <w:pPr>
        <w:suppressAutoHyphens/>
        <w:autoSpaceDN w:val="0"/>
        <w:bidi/>
        <w:spacing w:after="200" w:line="240" w:lineRule="auto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</w:pPr>
    </w:p>
    <w:p w:rsidR="00ED7DF2" w:rsidRPr="00C24BDE" w:rsidRDefault="00ED7DF2" w:rsidP="00ED7DF2">
      <w:pPr>
        <w:suppressAutoHyphens/>
        <w:autoSpaceDN w:val="0"/>
        <w:bidi/>
        <w:spacing w:after="200" w:line="240" w:lineRule="auto"/>
        <w:contextualSpacing/>
        <w:jc w:val="lowKashida"/>
        <w:textAlignment w:val="baseline"/>
        <w:rPr>
          <w:rFonts w:ascii="Traditional Arabic" w:eastAsia="Times New Roman" w:hAnsi="Traditional Arabic" w:cs="Traditional Arabic"/>
          <w:sz w:val="28"/>
          <w:szCs w:val="28"/>
          <w:lang w:eastAsia="fr-FR" w:bidi="ar-DZ"/>
        </w:rPr>
      </w:pPr>
    </w:p>
    <w:p w:rsidR="00ED7DF2" w:rsidRPr="00C24BDE" w:rsidRDefault="00ED7DF2" w:rsidP="00ED7DF2">
      <w:pPr>
        <w:suppressAutoHyphens/>
        <w:autoSpaceDN w:val="0"/>
        <w:bidi/>
        <w:spacing w:line="240" w:lineRule="auto"/>
        <w:jc w:val="lowKashida"/>
        <w:textAlignment w:val="baseline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</w:p>
    <w:p w:rsidR="00ED7DF2" w:rsidRPr="00C24BDE" w:rsidRDefault="00ED7DF2" w:rsidP="00ED7DF2">
      <w:pPr>
        <w:suppressAutoHyphens/>
        <w:autoSpaceDN w:val="0"/>
        <w:bidi/>
        <w:spacing w:line="240" w:lineRule="auto"/>
        <w:textAlignment w:val="baseline"/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</w:pPr>
    </w:p>
    <w:p w:rsidR="00ED7DF2" w:rsidRPr="00C24BDE" w:rsidRDefault="00ED7DF2" w:rsidP="00ED7DF2">
      <w:pPr>
        <w:suppressAutoHyphens/>
        <w:autoSpaceDN w:val="0"/>
        <w:bidi/>
        <w:spacing w:line="240" w:lineRule="auto"/>
        <w:textAlignment w:val="baseline"/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</w:pPr>
    </w:p>
    <w:p w:rsidR="00ED7DF2" w:rsidRPr="00ED7DF2" w:rsidRDefault="00ED7DF2" w:rsidP="00ED7DF2">
      <w:pPr>
        <w:jc w:val="right"/>
        <w:rPr>
          <w:lang w:bidi="ar-DZ"/>
        </w:rPr>
      </w:pPr>
    </w:p>
    <w:sectPr w:rsidR="00ED7DF2" w:rsidRPr="00ED7DF2" w:rsidSect="00C45F2C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91C4F"/>
    <w:multiLevelType w:val="hybridMultilevel"/>
    <w:tmpl w:val="C6F890C2"/>
    <w:lvl w:ilvl="0" w:tplc="CCE2B314">
      <w:start w:val="1"/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F2"/>
    <w:rsid w:val="003D7654"/>
    <w:rsid w:val="00C45F2C"/>
    <w:rsid w:val="00E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9E9DA-2584-4F12-9877-57CAEC64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D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7D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الم06</b:Tag>
    <b:SourceType>Book</b:SourceType>
    <b:Guid>{125D7448-036F-4CA7-8DC7-B3556E7424C2}</b:Guid>
    <b:Title>البيداغوجية الجديدة ، بيداغوجة الإدماج العدد5</b:Title>
    <b:Year>2006</b:Year>
    <b:Publisher>  المركز الوطني للوثائق التربوية،يناير ،فبراير </b:Publisher>
    <b:Edition>5</b:Edition>
    <b:Author>
      <b:Author>
        <b:Corporate>المجلة الجزائرية للتربية ،المربي </b:Corporate>
      </b:Author>
    </b:Author>
    <b:City>الجزائر</b:City>
    <b:RefOrder>107</b:RefOrder>
  </b:Source>
  <b:Source>
    <b:Tag>طيب04</b:Tag>
    <b:SourceType>Book</b:SourceType>
    <b:Guid>{9F98EBAE-033B-4F16-84C1-2874D4B85EA2}</b:Guid>
    <b:Title>بيداغوجية المقاربة بالكفاءات مفاهيم بيداغوجية في التعليم</b:Title>
    <b:Year>2004</b:Year>
    <b:Publisher>دار الأمل للطباعة والتوزيع </b:Publisher>
    <b:CountryRegion>الجزائر</b:CountryRegion>
    <b:Author>
      <b:Author>
        <b:Corporate>طيب نايت سليمان ،زعتوت عبد الرحمان، قوال فاطمة</b:Corporate>
      </b:Author>
    </b:Author>
    <b:City>الجزائر</b:City>
    <b:RefOrder>106</b:RefOrder>
  </b:Source>
  <b:Source>
    <b:Tag>محم04</b:Tag>
    <b:SourceType>Book</b:SourceType>
    <b:Guid>{15670221-9442-4A97-AA6E-94560A2654CB}</b:Guid>
    <b:Title>مدخل لمقاربة التعليم بالكفاءات</b:Title>
    <b:Year>2004</b:Year>
    <b:City>البليدة</b:City>
    <b:Publisher>قصر الكتاب</b:Publisher>
    <b:Author>
      <b:Author>
        <b:Corporate>محمد بوعلاق</b:Corporate>
      </b:Author>
    </b:Author>
    <b:CountryRegion>الجزائر</b:CountryRegion>
    <b:RefOrder>114</b:RefOrder>
  </b:Source>
  <b:Source>
    <b:Tag>أحم91</b:Tag>
    <b:SourceType>Book</b:SourceType>
    <b:Guid>{52CD57B9-286F-4E16-B0FD-F797C6493848}</b:Guid>
    <b:Author>
      <b:Author>
        <b:Corporate>أحمد شبشوب</b:Corporate>
      </b:Author>
    </b:Author>
    <b:Title>علوم التربية</b:Title>
    <b:Year>1991</b:Year>
    <b:Publisher>الدارالتونسية للنشر</b:Publisher>
    <b:City>تونس </b:City>
    <b:RefOrder>118</b:RefOrder>
  </b:Source>
  <b:Source>
    <b:Tag>مصط04</b:Tag>
    <b:SourceType>Book</b:SourceType>
    <b:Guid>{40A5E4FF-A586-4589-A425-8D70F8F541C6}</b:Guid>
    <b:Author>
      <b:Author>
        <b:Corporate>مصطفى بن حبيلس</b:Corporate>
      </b:Author>
    </b:Author>
    <b:Title>المقاربة بالمشكلات في ضوء العلاقة بالمعرفة</b:Title>
    <b:Year>2004</b:Year>
    <b:Edition>38</b:Edition>
    <b:City>الجزائر </b:City>
    <b:Publisher>العدد38</b:Publisher>
    <b:RefOrder>119</b:RefOrder>
  </b:Source>
  <b:Source>
    <b:Tag>محم99</b:Tag>
    <b:SourceType>Book</b:SourceType>
    <b:Guid>{039B3DA3-DC8B-44FF-B3E5-B0F80CC37EA6}</b:Guid>
    <b:Title>مدخل الى التدريس بالكفاءات </b:Title>
    <b:Year>2002</b:Year>
    <b:Publisher>دار الهدى للنشر</b:Publisher>
    <b:Author>
      <b:Author>
        <b:Corporate>محمد صالح الحثروبي</b:Corporate>
      </b:Author>
    </b:Author>
    <b:CountryRegion>الجزائر</b:CountryRegion>
    <b:City>الجزائر</b:City>
    <b:RefOrder>120</b:RefOrder>
  </b:Source>
  <b:Source>
    <b:Tag>حاج</b:Tag>
    <b:SourceType>Book</b:SourceType>
    <b:Guid>{A6996BE0-F721-48BB-B91D-2F0C2D547299}</b:Guid>
    <b:Author>
      <b:Author>
        <b:Corporate>حاجي فريد</b:Corporate>
      </b:Author>
    </b:Author>
    <b:Title>المقاربة بالكفاءات كبيداغوجية إدماجية</b:Title>
    <b:Publisher>سلسلة موعدك التربوية العدد17</b:Publisher>
    <b:CountryRegion>الجزائر</b:CountryRegion>
    <b:Edition>17</b:Edition>
    <b:Year>2004</b:Year>
    <b:City>الجزائر</b:City>
    <b:RefOrder>121</b:RefOrder>
  </b:Source>
</b:Sources>
</file>

<file path=customXml/itemProps1.xml><?xml version="1.0" encoding="utf-8"?>
<ds:datastoreItem xmlns:ds="http://schemas.openxmlformats.org/officeDocument/2006/customXml" ds:itemID="{73D42578-A016-416D-8A28-53FE43AD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DR-BEN</dc:creator>
  <cp:keywords/>
  <dc:description/>
  <cp:lastModifiedBy>DR-BEN</cp:lastModifiedBy>
  <cp:revision>1</cp:revision>
  <dcterms:created xsi:type="dcterms:W3CDTF">2020-08-25T11:24:00Z</dcterms:created>
  <dcterms:modified xsi:type="dcterms:W3CDTF">2020-08-25T11:37:00Z</dcterms:modified>
</cp:coreProperties>
</file>