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B8" w:rsidRDefault="005F47B8" w:rsidP="005F4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>
        <w:rPr>
          <w:rFonts w:asciiTheme="majorHAnsi" w:hAnsiTheme="majorHAnsi" w:cs="Calibri"/>
          <w:b/>
          <w:bCs/>
          <w:iCs/>
        </w:rPr>
        <w:t>Unité d’enseignement : Transversale</w:t>
      </w:r>
    </w:p>
    <w:p w:rsidR="005F47B8" w:rsidRDefault="005F47B8" w:rsidP="005F4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eastAsia="Calibri" w:hAnsiTheme="majorHAnsi" w:cs="Arial"/>
          <w:b/>
          <w:bCs/>
          <w:color w:val="000000"/>
          <w:lang w:eastAsia="en-US"/>
        </w:rPr>
      </w:pPr>
      <w:r>
        <w:rPr>
          <w:rFonts w:asciiTheme="majorHAnsi" w:hAnsiTheme="majorHAnsi" w:cs="Calibri"/>
          <w:b/>
          <w:bCs/>
          <w:iCs/>
        </w:rPr>
        <w:t xml:space="preserve">Matière : </w:t>
      </w:r>
      <w:r>
        <w:rPr>
          <w:rFonts w:asciiTheme="majorHAnsi" w:hAnsiTheme="majorHAnsi" w:cs="Calibri"/>
          <w:b/>
          <w:bCs/>
          <w:iCs/>
          <w:sz w:val="22"/>
          <w:szCs w:val="22"/>
        </w:rPr>
        <w:t>Éthique, déontologie et propriété intellectuelle</w:t>
      </w:r>
    </w:p>
    <w:p w:rsidR="005F47B8" w:rsidRDefault="005F47B8" w:rsidP="005F4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>
        <w:rPr>
          <w:rFonts w:asciiTheme="majorHAnsi" w:hAnsiTheme="majorHAnsi" w:cs="Calibri"/>
          <w:b/>
          <w:bCs/>
          <w:iCs/>
        </w:rPr>
        <w:t>Crédit : 1</w:t>
      </w:r>
    </w:p>
    <w:p w:rsidR="005F47B8" w:rsidRDefault="005F47B8" w:rsidP="005F47B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/>
        <w:jc w:val="both"/>
        <w:rPr>
          <w:rFonts w:asciiTheme="majorHAnsi" w:hAnsiTheme="majorHAnsi" w:cs="Calibri"/>
          <w:b/>
          <w:bCs/>
          <w:iCs/>
        </w:rPr>
      </w:pPr>
      <w:r>
        <w:rPr>
          <w:rFonts w:asciiTheme="majorHAnsi" w:hAnsiTheme="majorHAnsi" w:cs="Calibri"/>
          <w:b/>
          <w:bCs/>
          <w:iCs/>
        </w:rPr>
        <w:t>Coefficient : 1</w:t>
      </w:r>
    </w:p>
    <w:p w:rsidR="005F47B8" w:rsidRDefault="005F47B8" w:rsidP="005F47B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5F47B8" w:rsidRPr="005F47B8" w:rsidRDefault="005F47B8" w:rsidP="005F47B8">
      <w:pPr>
        <w:jc w:val="both"/>
        <w:rPr>
          <w:rFonts w:asciiTheme="majorHAnsi" w:hAnsiTheme="majorHAnsi" w:cs="Calibri"/>
          <w:i/>
          <w:u w:val="single"/>
        </w:rPr>
      </w:pPr>
      <w:r w:rsidRPr="005F47B8">
        <w:rPr>
          <w:rFonts w:asciiTheme="majorHAnsi" w:hAnsiTheme="majorHAnsi" w:cs="Calibri"/>
          <w:b/>
          <w:u w:val="single"/>
        </w:rPr>
        <w:t>Objectifs de l’enseignement:</w:t>
      </w:r>
    </w:p>
    <w:p w:rsidR="005F47B8" w:rsidRDefault="005F47B8" w:rsidP="005F47B8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5F47B8" w:rsidRDefault="005F47B8" w:rsidP="005F47B8">
      <w:pPr>
        <w:jc w:val="both"/>
        <w:rPr>
          <w:rFonts w:asciiTheme="majorHAnsi" w:hAnsiTheme="majorHAnsi" w:cstheme="majorBidi"/>
          <w:sz w:val="22"/>
          <w:szCs w:val="22"/>
        </w:rPr>
      </w:pPr>
      <w:r>
        <w:rPr>
          <w:rFonts w:asciiTheme="majorHAnsi" w:hAnsiTheme="majorHAnsi" w:cstheme="majorBidi"/>
          <w:sz w:val="22"/>
          <w:szCs w:val="22"/>
        </w:rPr>
        <w:t>Développer la sensibilisation des étudiants aux principes éthiques</w:t>
      </w:r>
      <w:r>
        <w:rPr>
          <w:rFonts w:asciiTheme="majorHAnsi" w:hAnsiTheme="majorHAnsi" w:cs="Arial"/>
          <w:iCs/>
          <w:sz w:val="22"/>
          <w:szCs w:val="22"/>
        </w:rPr>
        <w:t xml:space="preserve">. Les initier aux règles qui régissent la vie à l’université (leurs droits et obligations vis-à-vis de la communauté universitaire) et dans le monde du travail. Les sensibiliser au respect et à la valorisation de la propriété intellectuelle. </w:t>
      </w:r>
      <w:r>
        <w:rPr>
          <w:rFonts w:asciiTheme="majorHAnsi" w:hAnsiTheme="majorHAnsi" w:cstheme="majorBidi"/>
          <w:sz w:val="22"/>
          <w:szCs w:val="22"/>
        </w:rPr>
        <w:t>Leur expliquer les risques des maux moraux telle que la corruption et à la manière de les combattre.</w:t>
      </w:r>
    </w:p>
    <w:p w:rsidR="005F47B8" w:rsidRDefault="005F47B8" w:rsidP="005F47B8">
      <w:pPr>
        <w:jc w:val="both"/>
        <w:rPr>
          <w:rFonts w:asciiTheme="majorHAnsi" w:hAnsiTheme="majorHAnsi" w:cstheme="majorBidi"/>
          <w:sz w:val="22"/>
          <w:szCs w:val="22"/>
        </w:rPr>
      </w:pPr>
    </w:p>
    <w:p w:rsidR="005F47B8" w:rsidRDefault="005F47B8" w:rsidP="005F47B8">
      <w:pPr>
        <w:jc w:val="both"/>
        <w:rPr>
          <w:rFonts w:asciiTheme="majorHAnsi" w:hAnsiTheme="majorHAnsi" w:cs="Calibri"/>
          <w:b/>
          <w:u w:val="thick" w:color="F79646"/>
        </w:rPr>
      </w:pPr>
    </w:p>
    <w:p w:rsidR="005F47B8" w:rsidRPr="005F47B8" w:rsidRDefault="005F47B8" w:rsidP="005F47B8">
      <w:pPr>
        <w:jc w:val="both"/>
        <w:rPr>
          <w:rFonts w:asciiTheme="majorHAnsi" w:hAnsiTheme="majorHAnsi" w:cs="Calibri"/>
          <w:b/>
          <w:u w:val="single"/>
        </w:rPr>
      </w:pPr>
      <w:r w:rsidRPr="005F47B8">
        <w:rPr>
          <w:rFonts w:asciiTheme="majorHAnsi" w:hAnsiTheme="majorHAnsi" w:cs="Calibri"/>
          <w:b/>
          <w:u w:val="single"/>
        </w:rPr>
        <w:t>Contenu de la matière : </w:t>
      </w:r>
    </w:p>
    <w:p w:rsidR="005F47B8" w:rsidRDefault="005F47B8" w:rsidP="005F47B8">
      <w:pPr>
        <w:jc w:val="both"/>
        <w:rPr>
          <w:rFonts w:asciiTheme="majorHAnsi" w:eastAsia="Calibri" w:hAnsiTheme="majorHAnsi" w:cs="Arial"/>
          <w:sz w:val="22"/>
          <w:szCs w:val="22"/>
          <w:lang w:eastAsia="en-US"/>
        </w:rPr>
      </w:pPr>
    </w:p>
    <w:p w:rsidR="005F47B8" w:rsidRDefault="005F47B8" w:rsidP="005F47B8">
      <w:pPr>
        <w:jc w:val="both"/>
        <w:rPr>
          <w:rFonts w:asciiTheme="majorHAnsi" w:hAnsiTheme="majorHAnsi" w:cs="Arial"/>
          <w:b/>
          <w:bCs/>
          <w:sz w:val="22"/>
          <w:szCs w:val="22"/>
          <w:lang w:eastAsia="fr-FR"/>
        </w:rPr>
      </w:pPr>
      <w:r>
        <w:rPr>
          <w:rFonts w:asciiTheme="majorHAnsi" w:hAnsiTheme="majorHAnsi" w:cs="Arial"/>
          <w:b/>
          <w:bCs/>
          <w:sz w:val="22"/>
          <w:szCs w:val="22"/>
          <w:lang w:eastAsia="fr-FR"/>
        </w:rPr>
        <w:t>A- Ethique et déontologie</w:t>
      </w:r>
    </w:p>
    <w:p w:rsidR="005F47B8" w:rsidRDefault="005F47B8" w:rsidP="005F47B8">
      <w:pPr>
        <w:ind w:left="1800"/>
        <w:jc w:val="both"/>
        <w:rPr>
          <w:rFonts w:asciiTheme="majorHAnsi" w:hAnsiTheme="majorHAnsi" w:cs="Arial"/>
          <w:b/>
          <w:bCs/>
          <w:sz w:val="22"/>
          <w:szCs w:val="22"/>
          <w:lang w:eastAsia="fr-FR"/>
        </w:rPr>
      </w:pPr>
    </w:p>
    <w:p w:rsidR="005F47B8" w:rsidRPr="005F47B8" w:rsidRDefault="005F47B8" w:rsidP="005F47B8">
      <w:pPr>
        <w:numPr>
          <w:ilvl w:val="0"/>
          <w:numId w:val="1"/>
        </w:numPr>
        <w:ind w:left="567"/>
        <w:contextualSpacing/>
        <w:jc w:val="both"/>
        <w:rPr>
          <w:rFonts w:asciiTheme="majorHAnsi" w:hAnsiTheme="majorHAnsi" w:cs="Arial"/>
          <w:b/>
          <w:bCs/>
          <w:sz w:val="22"/>
          <w:szCs w:val="22"/>
          <w:lang w:eastAsia="fr-FR"/>
        </w:rPr>
      </w:pPr>
      <w:r w:rsidRPr="005F47B8">
        <w:rPr>
          <w:rFonts w:asciiTheme="majorHAnsi" w:hAnsiTheme="majorHAnsi" w:cs="Arial"/>
          <w:b/>
          <w:bCs/>
          <w:sz w:val="22"/>
          <w:szCs w:val="22"/>
          <w:lang w:eastAsia="fr-FR"/>
        </w:rPr>
        <w:t>Notions d’Ethique et de Déontologie</w:t>
      </w:r>
      <w:r w:rsidRPr="005F47B8">
        <w:rPr>
          <w:rFonts w:asciiTheme="majorHAnsi" w:hAnsiTheme="majorHAnsi" w:cs="Arial"/>
          <w:sz w:val="22"/>
          <w:szCs w:val="22"/>
          <w:lang w:eastAsia="fr-FR"/>
        </w:rPr>
        <w:tab/>
      </w:r>
      <w:r w:rsidRPr="005F47B8">
        <w:rPr>
          <w:rFonts w:asciiTheme="majorHAnsi" w:hAnsiTheme="majorHAnsi" w:cs="Arial"/>
          <w:sz w:val="22"/>
          <w:szCs w:val="22"/>
          <w:lang w:eastAsia="fr-FR"/>
        </w:rPr>
        <w:tab/>
      </w:r>
      <w:r w:rsidRPr="005F47B8">
        <w:rPr>
          <w:rFonts w:asciiTheme="majorHAnsi" w:hAnsiTheme="majorHAnsi" w:cs="Arial"/>
          <w:sz w:val="22"/>
          <w:szCs w:val="22"/>
          <w:lang w:eastAsia="fr-FR"/>
        </w:rPr>
        <w:tab/>
      </w:r>
      <w:r w:rsidRPr="005F47B8">
        <w:rPr>
          <w:rFonts w:asciiTheme="majorHAnsi" w:hAnsiTheme="majorHAnsi" w:cs="Arial"/>
          <w:sz w:val="22"/>
          <w:szCs w:val="22"/>
          <w:lang w:eastAsia="fr-FR"/>
        </w:rPr>
        <w:tab/>
      </w:r>
      <w:r w:rsidRPr="005F47B8">
        <w:rPr>
          <w:rFonts w:asciiTheme="majorHAnsi" w:hAnsiTheme="majorHAnsi" w:cs="Arial"/>
          <w:sz w:val="22"/>
          <w:szCs w:val="22"/>
          <w:lang w:eastAsia="fr-FR"/>
        </w:rPr>
        <w:tab/>
      </w:r>
    </w:p>
    <w:p w:rsidR="005F47B8" w:rsidRDefault="005F47B8" w:rsidP="005F47B8">
      <w:pPr>
        <w:numPr>
          <w:ilvl w:val="0"/>
          <w:numId w:val="2"/>
        </w:numPr>
        <w:ind w:left="993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 xml:space="preserve">Introduction </w:t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</w:p>
    <w:p w:rsidR="005F47B8" w:rsidRDefault="005F47B8" w:rsidP="005F47B8">
      <w:pPr>
        <w:ind w:left="993"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 xml:space="preserve">1. </w:t>
      </w:r>
      <w:r>
        <w:rPr>
          <w:rFonts w:asciiTheme="majorHAnsi" w:hAnsiTheme="majorHAnsi" w:cs="Calibri"/>
          <w:iCs/>
          <w:sz w:val="22"/>
          <w:szCs w:val="22"/>
        </w:rPr>
        <w:t>Définitions : Morale, éthique, déontologie</w:t>
      </w:r>
    </w:p>
    <w:p w:rsidR="005F47B8" w:rsidRDefault="005F47B8" w:rsidP="005F47B8">
      <w:pPr>
        <w:pStyle w:val="Paragraphedeliste"/>
        <w:ind w:left="992"/>
        <w:jc w:val="both"/>
        <w:rPr>
          <w:rFonts w:asciiTheme="majorHAnsi" w:hAnsiTheme="majorHAnsi" w:cs="Arial"/>
          <w:lang w:eastAsia="fr-FR"/>
        </w:rPr>
      </w:pPr>
      <w:r>
        <w:rPr>
          <w:rFonts w:asciiTheme="majorHAnsi" w:hAnsiTheme="majorHAnsi" w:cs="Arial"/>
          <w:lang w:eastAsia="fr-FR"/>
        </w:rPr>
        <w:t xml:space="preserve">2. </w:t>
      </w:r>
      <w:r>
        <w:rPr>
          <w:rFonts w:asciiTheme="majorHAnsi" w:hAnsiTheme="majorHAnsi" w:cs="Calibri"/>
          <w:iCs/>
        </w:rPr>
        <w:t>Distinction entre éthique et déontologie</w:t>
      </w: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  <w:r>
        <w:rPr>
          <w:rFonts w:asciiTheme="majorHAnsi" w:hAnsiTheme="majorHAnsi" w:cs="Arial"/>
          <w:lang w:eastAsia="fr-FR"/>
        </w:rPr>
        <w:tab/>
      </w:r>
    </w:p>
    <w:p w:rsidR="005F47B8" w:rsidRDefault="005F47B8" w:rsidP="005F47B8">
      <w:pPr>
        <w:numPr>
          <w:ilvl w:val="0"/>
          <w:numId w:val="2"/>
        </w:numPr>
        <w:ind w:left="993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>Charte de l’éthique et de la déontologie du MESRS : I</w:t>
      </w:r>
      <w:r>
        <w:rPr>
          <w:rFonts w:asciiTheme="majorHAnsi" w:hAnsiTheme="majorHAnsi" w:cs="Arial"/>
          <w:sz w:val="22"/>
          <w:szCs w:val="22"/>
        </w:rPr>
        <w:t xml:space="preserve">ntégrité et honnêteté. Liberté académique. Respect mutuel. Exigence de vérité scientifique, Objectivité et esprit critique. Equité. </w:t>
      </w:r>
      <w:r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 xml:space="preserve">Droits et </w:t>
      </w:r>
      <w:r>
        <w:rPr>
          <w:rFonts w:asciiTheme="majorHAnsi" w:hAnsiTheme="majorHAnsi" w:cs="Arial"/>
          <w:bCs/>
          <w:sz w:val="22"/>
          <w:szCs w:val="22"/>
        </w:rPr>
        <w:t xml:space="preserve">obligations </w:t>
      </w:r>
      <w:r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 xml:space="preserve">de l’étudiant, </w:t>
      </w:r>
      <w:r>
        <w:rPr>
          <w:rFonts w:asciiTheme="majorHAnsi" w:hAnsiTheme="majorHAnsi" w:cs="Arial"/>
          <w:bCs/>
          <w:sz w:val="22"/>
          <w:szCs w:val="22"/>
        </w:rPr>
        <w:t>de l’enseignant, du personnel administratif et technique.</w:t>
      </w:r>
    </w:p>
    <w:p w:rsidR="005F47B8" w:rsidRDefault="005F47B8" w:rsidP="005F47B8">
      <w:pPr>
        <w:numPr>
          <w:ilvl w:val="0"/>
          <w:numId w:val="2"/>
        </w:numPr>
        <w:ind w:left="993"/>
        <w:contextualSpacing/>
        <w:jc w:val="both"/>
        <w:rPr>
          <w:rFonts w:asciiTheme="majorHAnsi" w:hAnsiTheme="majorHAnsi" w:cs="Arial"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>Ethique et déontologie dans le monde du travail</w:t>
      </w:r>
    </w:p>
    <w:p w:rsidR="005F47B8" w:rsidRDefault="005F47B8" w:rsidP="005F47B8">
      <w:pPr>
        <w:ind w:left="993"/>
        <w:contextualSpacing/>
        <w:jc w:val="both"/>
        <w:rPr>
          <w:rFonts w:asciiTheme="majorHAnsi" w:eastAsia="Times New Roman" w:hAnsiTheme="majorHAnsi" w:cs="Arial"/>
          <w:bCs/>
          <w:sz w:val="22"/>
          <w:szCs w:val="22"/>
          <w:lang w:eastAsia="fr-FR"/>
        </w:rPr>
      </w:pPr>
      <w:r>
        <w:rPr>
          <w:rFonts w:asciiTheme="majorHAnsi" w:hAnsiTheme="majorHAnsi" w:cs="Calibri"/>
          <w:bCs/>
          <w:sz w:val="22"/>
          <w:szCs w:val="22"/>
        </w:rPr>
        <w:t>Confidentialité juridique en entreprise. Fidélité à l’entreprise. Responsabilité au sein de l’entreprise, Conflits d'intérêt. Intégrité (</w:t>
      </w:r>
      <w:r>
        <w:rPr>
          <w:rFonts w:asciiTheme="majorHAnsi" w:eastAsia="Times New Roman" w:hAnsiTheme="majorHAnsi" w:cs="Arial"/>
          <w:bCs/>
          <w:sz w:val="22"/>
          <w:szCs w:val="22"/>
          <w:lang w:eastAsia="fr-FR"/>
        </w:rPr>
        <w:t>corruption dans le travail, ses formes, ses conséquences, modes de lutte et sanctions contre la corruption)</w:t>
      </w:r>
    </w:p>
    <w:p w:rsidR="005F47B8" w:rsidRDefault="005F47B8" w:rsidP="005F47B8">
      <w:pPr>
        <w:ind w:left="993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</w:p>
    <w:p w:rsidR="005F47B8" w:rsidRDefault="005F47B8" w:rsidP="005F47B8">
      <w:pPr>
        <w:numPr>
          <w:ilvl w:val="0"/>
          <w:numId w:val="1"/>
        </w:numPr>
        <w:ind w:left="567"/>
        <w:contextualSpacing/>
        <w:jc w:val="both"/>
        <w:rPr>
          <w:rFonts w:asciiTheme="majorHAnsi" w:hAnsiTheme="majorHAnsi" w:cs="Arial"/>
          <w:b/>
          <w:bCs/>
          <w:sz w:val="22"/>
          <w:szCs w:val="22"/>
          <w:lang w:eastAsia="fr-FR"/>
        </w:rPr>
      </w:pPr>
      <w:r>
        <w:rPr>
          <w:rFonts w:asciiTheme="majorHAnsi" w:hAnsiTheme="majorHAnsi" w:cs="Arial"/>
          <w:b/>
          <w:bCs/>
          <w:sz w:val="22"/>
          <w:szCs w:val="22"/>
          <w:lang w:eastAsia="fr-FR"/>
        </w:rPr>
        <w:t>Recherche intègre et responsable</w:t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  <w:r>
        <w:rPr>
          <w:rFonts w:asciiTheme="majorHAnsi" w:hAnsiTheme="majorHAnsi" w:cs="Arial"/>
          <w:sz w:val="22"/>
          <w:szCs w:val="22"/>
          <w:lang w:eastAsia="fr-FR"/>
        </w:rPr>
        <w:tab/>
      </w:r>
    </w:p>
    <w:p w:rsidR="005F47B8" w:rsidRDefault="005F47B8" w:rsidP="005F47B8">
      <w:pPr>
        <w:ind w:left="567"/>
        <w:contextualSpacing/>
        <w:jc w:val="both"/>
        <w:rPr>
          <w:rFonts w:asciiTheme="majorHAnsi" w:hAnsiTheme="majorHAnsi" w:cs="Arial"/>
          <w:b/>
          <w:bCs/>
          <w:sz w:val="22"/>
          <w:szCs w:val="22"/>
          <w:lang w:eastAsia="fr-FR"/>
        </w:rPr>
      </w:pPr>
      <w:r>
        <w:rPr>
          <w:rFonts w:asciiTheme="majorHAnsi" w:hAnsiTheme="majorHAnsi" w:cs="Arial"/>
          <w:b/>
          <w:bCs/>
          <w:sz w:val="22"/>
          <w:szCs w:val="22"/>
          <w:lang w:eastAsia="fr-FR"/>
        </w:rPr>
        <w:tab/>
      </w:r>
    </w:p>
    <w:p w:rsidR="005F47B8" w:rsidRDefault="005F47B8" w:rsidP="005F47B8">
      <w:pPr>
        <w:numPr>
          <w:ilvl w:val="0"/>
          <w:numId w:val="3"/>
        </w:numPr>
        <w:ind w:left="958" w:hanging="323"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>Respect des principes de l’éthique dans l’enseignement et la recherche</w:t>
      </w:r>
    </w:p>
    <w:p w:rsidR="005F47B8" w:rsidRDefault="005F47B8" w:rsidP="005F47B8">
      <w:pPr>
        <w:numPr>
          <w:ilvl w:val="0"/>
          <w:numId w:val="3"/>
        </w:numPr>
        <w:ind w:left="993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 xml:space="preserve">Responsabilités dans le travail d’équipe : Egalité professionnelle de traitement. Conduite contre les discriminations. </w:t>
      </w:r>
      <w:r>
        <w:rPr>
          <w:rFonts w:asciiTheme="majorHAnsi" w:hAnsiTheme="majorHAnsi"/>
          <w:sz w:val="22"/>
          <w:szCs w:val="22"/>
        </w:rPr>
        <w:t xml:space="preserve">La recherche de l'intérêt général. </w:t>
      </w:r>
      <w:r>
        <w:rPr>
          <w:rFonts w:asciiTheme="majorHAnsi" w:hAnsiTheme="majorHAnsi" w:cs="Arial"/>
          <w:sz w:val="22"/>
          <w:szCs w:val="22"/>
          <w:lang w:eastAsia="fr-FR"/>
        </w:rPr>
        <w:t xml:space="preserve">Conduites inappropriées dans le cadre du travail collectif </w:t>
      </w:r>
    </w:p>
    <w:p w:rsidR="005F47B8" w:rsidRDefault="005F47B8" w:rsidP="005F47B8">
      <w:pPr>
        <w:numPr>
          <w:ilvl w:val="0"/>
          <w:numId w:val="3"/>
        </w:numPr>
        <w:ind w:left="992" w:hanging="357"/>
        <w:contextualSpacing/>
        <w:jc w:val="both"/>
        <w:rPr>
          <w:rFonts w:asciiTheme="majorHAnsi" w:hAnsiTheme="majorHAnsi" w:cs="Arial"/>
          <w:sz w:val="22"/>
          <w:szCs w:val="22"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>Adopter une conduite responsable et combattre les dérives : Adopter une conduite responsable dans la recherche. Fraude scientifique. Conduite contre la fraude. Le plagiat (</w:t>
      </w:r>
      <w:r>
        <w:rPr>
          <w:rFonts w:asciiTheme="majorHAnsi" w:hAnsiTheme="majorHAnsi" w:cs="Arial"/>
          <w:sz w:val="22"/>
          <w:szCs w:val="22"/>
        </w:rPr>
        <w:t>définition du plagiat, différentes formes de plagiat, procédures pour éviter le plagiat involontaire, détection du plagiat, sanctions contre les plagiaires, …).</w:t>
      </w:r>
      <w:r>
        <w:rPr>
          <w:rFonts w:asciiTheme="majorHAnsi" w:hAnsiTheme="majorHAnsi" w:cs="Arial"/>
          <w:sz w:val="22"/>
          <w:szCs w:val="22"/>
          <w:lang w:eastAsia="fr-FR"/>
        </w:rPr>
        <w:t xml:space="preserve"> Falsification et fabrication de données.</w:t>
      </w: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B- Propriété intellectuelle</w:t>
      </w:r>
    </w:p>
    <w:p w:rsidR="005F47B8" w:rsidRDefault="005F47B8" w:rsidP="005F47B8">
      <w:pPr>
        <w:jc w:val="both"/>
        <w:rPr>
          <w:rFonts w:asciiTheme="majorHAnsi" w:eastAsia="Times New Roman" w:hAnsiTheme="majorHAnsi"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 xml:space="preserve">I- Fondamentaux de la propriété intellectuelle   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pStyle w:val="Paragraphedelist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Propriété industrielle</w:t>
      </w:r>
      <w:r>
        <w:rPr>
          <w:rFonts w:asciiTheme="majorHAnsi" w:hAnsiTheme="majorHAnsi" w:cs="Arial"/>
          <w:lang w:eastAsia="fr-FR"/>
        </w:rPr>
        <w:t xml:space="preserve">. </w:t>
      </w:r>
      <w:r>
        <w:rPr>
          <w:rFonts w:asciiTheme="majorHAnsi" w:hAnsiTheme="majorHAnsi"/>
        </w:rPr>
        <w:t xml:space="preserve">Propriété littéraire et artistique. </w:t>
      </w:r>
    </w:p>
    <w:p w:rsidR="005F47B8" w:rsidRDefault="005F47B8" w:rsidP="005F47B8">
      <w:pPr>
        <w:pStyle w:val="Paragraphedeliste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Règles de citation des références (ouvrages, articles scientifiques, communications  </w:t>
      </w:r>
    </w:p>
    <w:p w:rsidR="005F47B8" w:rsidRDefault="005F47B8" w:rsidP="005F47B8">
      <w:pPr>
        <w:pStyle w:val="Paragraphedeliste"/>
        <w:tabs>
          <w:tab w:val="left" w:pos="993"/>
        </w:tabs>
        <w:ind w:left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proofErr w:type="gramStart"/>
      <w:r>
        <w:rPr>
          <w:rFonts w:asciiTheme="majorHAnsi" w:hAnsiTheme="majorHAnsi" w:cs="Arial"/>
        </w:rPr>
        <w:t>dans</w:t>
      </w:r>
      <w:proofErr w:type="gramEnd"/>
      <w:r>
        <w:rPr>
          <w:rFonts w:asciiTheme="majorHAnsi" w:hAnsiTheme="majorHAnsi" w:cs="Arial"/>
        </w:rPr>
        <w:t xml:space="preserve"> un congrès, thèses, mémoires, …)</w:t>
      </w:r>
    </w:p>
    <w:p w:rsidR="005F47B8" w:rsidRDefault="005F47B8" w:rsidP="005F47B8">
      <w:pPr>
        <w:ind w:firstLine="708"/>
        <w:jc w:val="both"/>
        <w:rPr>
          <w:rFonts w:asciiTheme="majorHAnsi" w:hAnsiTheme="majorHAnsi" w:cs="Arial"/>
          <w:sz w:val="22"/>
          <w:szCs w:val="22"/>
          <w:lang w:eastAsia="fr-FR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II- Droit d'auteur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Pr="00553697" w:rsidRDefault="005F47B8" w:rsidP="005F47B8">
      <w:pPr>
        <w:pStyle w:val="Paragraphedelist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HAnsi" w:eastAsia="Times New Roman" w:hAnsiTheme="majorHAnsi"/>
          <w:b/>
          <w:bCs/>
          <w:lang w:eastAsia="fr-FR"/>
        </w:rPr>
      </w:pPr>
      <w:r w:rsidRPr="00553697">
        <w:rPr>
          <w:rFonts w:asciiTheme="majorHAnsi" w:eastAsia="Times New Roman" w:hAnsiTheme="majorHAnsi"/>
          <w:b/>
          <w:bCs/>
          <w:lang w:eastAsia="fr-FR"/>
        </w:rPr>
        <w:t>Droit d’auteur dans l’environnement numérique</w:t>
      </w:r>
      <w:r w:rsidRPr="00553697">
        <w:rPr>
          <w:rFonts w:asciiTheme="majorHAnsi" w:eastAsia="Times New Roman" w:hAnsiTheme="majorHAnsi"/>
          <w:b/>
          <w:bCs/>
          <w:lang w:eastAsia="fr-FR"/>
        </w:rPr>
        <w:tab/>
      </w:r>
      <w:r w:rsidRPr="00553697">
        <w:rPr>
          <w:rFonts w:asciiTheme="majorHAnsi" w:eastAsia="Times New Roman" w:hAnsiTheme="majorHAnsi"/>
          <w:b/>
          <w:bCs/>
          <w:lang w:eastAsia="fr-FR"/>
        </w:rPr>
        <w:tab/>
      </w:r>
    </w:p>
    <w:p w:rsidR="005F47B8" w:rsidRDefault="005F47B8" w:rsidP="005F47B8">
      <w:pPr>
        <w:ind w:left="709"/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Introduction. Droit d’auteur </w:t>
      </w:r>
      <w:r>
        <w:rPr>
          <w:rFonts w:asciiTheme="majorHAnsi" w:eastAsia="Times New Roman" w:hAnsiTheme="majorHAnsi"/>
          <w:sz w:val="22"/>
          <w:szCs w:val="22"/>
          <w:lang w:eastAsia="fr-FR"/>
        </w:rPr>
        <w:t>des bases de données, droit d’auteur des logiciels</w:t>
      </w:r>
      <w:r>
        <w:rPr>
          <w:rFonts w:asciiTheme="majorHAnsi" w:hAnsiTheme="majorHAnsi"/>
          <w:sz w:val="22"/>
          <w:szCs w:val="22"/>
        </w:rPr>
        <w:t>.</w:t>
      </w:r>
      <w:r>
        <w:t xml:space="preserve"> Cas</w:t>
      </w:r>
      <w:r>
        <w:rPr>
          <w:rFonts w:asciiTheme="majorHAnsi" w:hAnsiTheme="majorHAnsi" w:cs="Calibri"/>
          <w:sz w:val="22"/>
          <w:szCs w:val="22"/>
        </w:rPr>
        <w:t xml:space="preserve"> spécifique des logiciels libres.</w:t>
      </w:r>
    </w:p>
    <w:p w:rsidR="005F47B8" w:rsidRDefault="005F47B8" w:rsidP="005F47B8">
      <w:pPr>
        <w:ind w:left="709"/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Pr="00553697" w:rsidRDefault="005F47B8" w:rsidP="005F47B8">
      <w:pPr>
        <w:pStyle w:val="Paragraphedelist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HAnsi" w:eastAsia="Times New Roman" w:hAnsiTheme="majorHAnsi"/>
          <w:b/>
          <w:bCs/>
          <w:lang w:eastAsia="fr-FR"/>
        </w:rPr>
      </w:pPr>
      <w:r w:rsidRPr="00553697">
        <w:rPr>
          <w:rFonts w:asciiTheme="majorHAnsi" w:eastAsia="Times New Roman" w:hAnsiTheme="majorHAnsi"/>
          <w:b/>
          <w:bCs/>
          <w:lang w:eastAsia="fr-FR"/>
        </w:rPr>
        <w:t xml:space="preserve">Droit d’auteur dans l’internet et le commerce électronique </w:t>
      </w:r>
    </w:p>
    <w:p w:rsidR="005F47B8" w:rsidRDefault="005F47B8" w:rsidP="005F47B8">
      <w:pPr>
        <w:ind w:left="709"/>
        <w:jc w:val="both"/>
        <w:rPr>
          <w:rFonts w:asciiTheme="majorHAnsi" w:eastAsia="Times New Roman" w:hAnsiTheme="majorHAnsi"/>
          <w:sz w:val="22"/>
          <w:szCs w:val="22"/>
          <w:lang w:eastAsia="fr-FR"/>
        </w:rPr>
      </w:pPr>
      <w:r>
        <w:rPr>
          <w:rFonts w:asciiTheme="majorHAnsi" w:eastAsia="Times New Roman" w:hAnsiTheme="majorHAnsi"/>
          <w:sz w:val="22"/>
          <w:szCs w:val="22"/>
          <w:lang w:eastAsia="fr-FR"/>
        </w:rPr>
        <w:t>Droit des noms de domaine. Propriété intellectuelle sur internet. Droit du site de commerce électronique. Propriété intellectuelle et réseaux sociaux.</w:t>
      </w:r>
    </w:p>
    <w:p w:rsidR="005F47B8" w:rsidRDefault="005F47B8" w:rsidP="005F47B8">
      <w:pPr>
        <w:ind w:left="709"/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Pr="00553697" w:rsidRDefault="005F47B8" w:rsidP="005F47B8">
      <w:pPr>
        <w:pStyle w:val="Paragraphedelist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HAnsi" w:eastAsia="Times New Roman" w:hAnsiTheme="majorHAnsi"/>
          <w:b/>
          <w:bCs/>
          <w:lang w:eastAsia="fr-FR"/>
        </w:rPr>
      </w:pPr>
      <w:r w:rsidRPr="00553697">
        <w:rPr>
          <w:rFonts w:asciiTheme="majorHAnsi" w:eastAsia="Times New Roman" w:hAnsiTheme="majorHAnsi"/>
          <w:b/>
          <w:bCs/>
          <w:lang w:eastAsia="fr-FR"/>
        </w:rPr>
        <w:t>Brevet</w:t>
      </w:r>
    </w:p>
    <w:p w:rsidR="005F47B8" w:rsidRDefault="005F47B8" w:rsidP="005F47B8">
      <w:pPr>
        <w:ind w:left="709"/>
        <w:jc w:val="both"/>
        <w:rPr>
          <w:rFonts w:asciiTheme="majorHAnsi" w:eastAsia="Times New Roman" w:hAnsiTheme="majorHAnsi" w:cs="Arial"/>
          <w:sz w:val="22"/>
          <w:szCs w:val="22"/>
          <w:lang w:eastAsia="fr-FR"/>
        </w:rPr>
      </w:pPr>
      <w:r>
        <w:rPr>
          <w:rFonts w:asciiTheme="majorHAnsi" w:hAnsiTheme="majorHAnsi"/>
          <w:sz w:val="22"/>
          <w:szCs w:val="22"/>
        </w:rPr>
        <w:t xml:space="preserve">Définition. Droits </w:t>
      </w:r>
      <w:r>
        <w:rPr>
          <w:rFonts w:asciiTheme="majorHAnsi" w:eastAsia="Times New Roman" w:hAnsiTheme="majorHAnsi" w:cs="Arial"/>
          <w:sz w:val="22"/>
          <w:szCs w:val="22"/>
          <w:lang w:eastAsia="fr-FR"/>
        </w:rPr>
        <w:t xml:space="preserve">dans un brevet. Utilité d’un brevet. La </w:t>
      </w:r>
      <w:r>
        <w:rPr>
          <w:rFonts w:asciiTheme="majorHAnsi" w:hAnsiTheme="majorHAnsi"/>
          <w:sz w:val="22"/>
          <w:szCs w:val="22"/>
        </w:rPr>
        <w:t xml:space="preserve">brevetabilité. Demande de brevet </w:t>
      </w:r>
      <w:r>
        <w:rPr>
          <w:rFonts w:asciiTheme="majorHAnsi" w:eastAsia="Times New Roman" w:hAnsiTheme="majorHAnsi" w:cs="Arial"/>
          <w:sz w:val="22"/>
          <w:szCs w:val="22"/>
          <w:lang w:eastAsia="fr-FR"/>
        </w:rPr>
        <w:t>en Algérie et dans le monde</w:t>
      </w:r>
      <w:r>
        <w:rPr>
          <w:rFonts w:asciiTheme="majorHAnsi" w:hAnsiTheme="majorHAnsi"/>
          <w:sz w:val="22"/>
          <w:szCs w:val="22"/>
        </w:rPr>
        <w:t>.</w:t>
      </w:r>
    </w:p>
    <w:p w:rsidR="005F47B8" w:rsidRDefault="005F47B8" w:rsidP="005F47B8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5F47B8" w:rsidRPr="00553697" w:rsidRDefault="005F47B8" w:rsidP="005F47B8">
      <w:pPr>
        <w:pStyle w:val="Paragraphedelist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HAnsi" w:eastAsia="Times New Roman" w:hAnsiTheme="majorHAnsi"/>
          <w:b/>
          <w:bCs/>
          <w:lang w:eastAsia="fr-FR"/>
        </w:rPr>
      </w:pPr>
      <w:r w:rsidRPr="00553697">
        <w:rPr>
          <w:rFonts w:asciiTheme="majorHAnsi" w:eastAsia="Times New Roman" w:hAnsiTheme="majorHAnsi"/>
          <w:b/>
          <w:bCs/>
          <w:lang w:eastAsia="fr-FR"/>
        </w:rPr>
        <w:t>Marques, dessins et modèles</w:t>
      </w:r>
    </w:p>
    <w:p w:rsidR="005F47B8" w:rsidRDefault="005F47B8" w:rsidP="005F47B8">
      <w:pPr>
        <w:ind w:left="709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Définition. Droit des Marques. Droit des dessins et modèles</w:t>
      </w:r>
      <w:r>
        <w:rPr>
          <w:rFonts w:asciiTheme="majorHAnsi" w:eastAsia="Times New Roman" w:hAnsiTheme="majorHAnsi"/>
          <w:sz w:val="22"/>
          <w:szCs w:val="22"/>
          <w:lang w:eastAsia="fr-FR"/>
        </w:rPr>
        <w:t xml:space="preserve">. </w:t>
      </w:r>
      <w:r>
        <w:rPr>
          <w:rFonts w:asciiTheme="majorHAnsi" w:eastAsia="Times New Roman" w:hAnsiTheme="majorHAnsi" w:cs="Arial"/>
          <w:sz w:val="22"/>
          <w:szCs w:val="22"/>
          <w:lang w:eastAsia="fr-FR"/>
        </w:rPr>
        <w:t>Appellation d’origine.</w:t>
      </w:r>
      <w:r>
        <w:rPr>
          <w:rFonts w:asciiTheme="majorHAnsi" w:eastAsia="Times New Roman" w:hAnsiTheme="majorHAnsi"/>
          <w:sz w:val="22"/>
          <w:szCs w:val="22"/>
          <w:lang w:eastAsia="fr-FR"/>
        </w:rPr>
        <w:t xml:space="preserve"> Le secret. La </w:t>
      </w:r>
      <w:r>
        <w:rPr>
          <w:rFonts w:asciiTheme="majorHAnsi" w:hAnsiTheme="majorHAnsi" w:cs="Calibri"/>
          <w:bCs/>
          <w:sz w:val="22"/>
          <w:szCs w:val="22"/>
        </w:rPr>
        <w:t>contrefaçon.</w:t>
      </w:r>
    </w:p>
    <w:p w:rsidR="005F47B8" w:rsidRDefault="005F47B8" w:rsidP="005F47B8">
      <w:pPr>
        <w:ind w:left="709"/>
        <w:jc w:val="both"/>
        <w:rPr>
          <w:rFonts w:asciiTheme="majorHAnsi" w:hAnsiTheme="majorHAnsi" w:cs="Calibri"/>
          <w:b/>
          <w:sz w:val="22"/>
          <w:szCs w:val="22"/>
        </w:rPr>
      </w:pPr>
    </w:p>
    <w:p w:rsidR="005F47B8" w:rsidRPr="00592FBA" w:rsidRDefault="005F47B8" w:rsidP="005F47B8">
      <w:pPr>
        <w:pStyle w:val="Paragraphedeliste"/>
        <w:numPr>
          <w:ilvl w:val="0"/>
          <w:numId w:val="5"/>
        </w:numPr>
        <w:spacing w:line="276" w:lineRule="auto"/>
        <w:ind w:left="993" w:hanging="284"/>
        <w:jc w:val="both"/>
        <w:rPr>
          <w:rFonts w:asciiTheme="majorHAnsi" w:hAnsiTheme="majorHAnsi" w:cs="Calibri"/>
          <w:b/>
        </w:rPr>
      </w:pPr>
      <w:r w:rsidRPr="00592FBA">
        <w:rPr>
          <w:rFonts w:asciiTheme="majorHAnsi" w:hAnsiTheme="majorHAnsi" w:cs="Calibri"/>
          <w:b/>
        </w:rPr>
        <w:t xml:space="preserve">Droit des Indications géographiques   </w:t>
      </w:r>
    </w:p>
    <w:p w:rsidR="005F47B8" w:rsidRDefault="005F47B8" w:rsidP="005F47B8">
      <w:pPr>
        <w:ind w:left="709"/>
        <w:jc w:val="both"/>
        <w:rPr>
          <w:rFonts w:asciiTheme="majorHAnsi" w:hAnsiTheme="majorHAnsi" w:cs="Calibri"/>
          <w:b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Définitions. Protection des Indications Géographique en Algérie. Traités internationaux sur les indications géographiques</w:t>
      </w:r>
      <w:r>
        <w:rPr>
          <w:rFonts w:asciiTheme="majorHAnsi" w:hAnsiTheme="majorHAnsi" w:cs="Calibri"/>
          <w:b/>
          <w:sz w:val="22"/>
          <w:szCs w:val="22"/>
        </w:rPr>
        <w:t>.</w:t>
      </w:r>
    </w:p>
    <w:p w:rsidR="005F47B8" w:rsidRDefault="005F47B8" w:rsidP="005F47B8">
      <w:pPr>
        <w:ind w:left="709"/>
        <w:jc w:val="both"/>
        <w:rPr>
          <w:rFonts w:asciiTheme="majorHAnsi" w:hAnsiTheme="majorHAnsi" w:cs="Calibri"/>
          <w:b/>
          <w:sz w:val="22"/>
          <w:szCs w:val="22"/>
        </w:rPr>
      </w:pP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>III- Protection et valorisation de la propriété intellectuelle</w:t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</w:r>
      <w:r>
        <w:rPr>
          <w:rFonts w:asciiTheme="majorHAnsi" w:eastAsia="Times New Roman" w:hAnsiTheme="majorHAnsi"/>
          <w:b/>
          <w:bCs/>
          <w:sz w:val="22"/>
          <w:szCs w:val="22"/>
          <w:lang w:eastAsia="fr-FR"/>
        </w:rPr>
        <w:tab/>
        <w:t xml:space="preserve">  </w:t>
      </w:r>
    </w:p>
    <w:p w:rsidR="005F47B8" w:rsidRDefault="005F47B8" w:rsidP="005F47B8">
      <w:pPr>
        <w:jc w:val="both"/>
        <w:rPr>
          <w:rFonts w:asciiTheme="majorHAnsi" w:eastAsia="Times New Roman" w:hAnsiTheme="majorHAnsi"/>
          <w:b/>
          <w:bCs/>
          <w:sz w:val="22"/>
          <w:szCs w:val="22"/>
          <w:lang w:eastAsia="fr-FR"/>
        </w:rPr>
      </w:pPr>
    </w:p>
    <w:p w:rsidR="005F47B8" w:rsidRDefault="005F47B8" w:rsidP="005F47B8">
      <w:pPr>
        <w:ind w:left="709"/>
        <w:contextualSpacing/>
        <w:jc w:val="both"/>
        <w:rPr>
          <w:rFonts w:asciiTheme="majorHAnsi" w:hAnsiTheme="majorHAnsi" w:cs="Arial"/>
          <w:sz w:val="22"/>
          <w:szCs w:val="22"/>
          <w:rtl/>
          <w:lang w:eastAsia="fr-FR"/>
        </w:rPr>
      </w:pPr>
      <w:r>
        <w:rPr>
          <w:rFonts w:asciiTheme="majorHAnsi" w:hAnsiTheme="majorHAnsi" w:cs="Arial"/>
          <w:sz w:val="22"/>
          <w:szCs w:val="22"/>
          <w:lang w:eastAsia="fr-FR"/>
        </w:rPr>
        <w:t>Comment protéger la propriété intellectuelle. Violation des droits et outil juridique. V</w:t>
      </w:r>
      <w:r>
        <w:rPr>
          <w:rFonts w:asciiTheme="majorHAnsi" w:eastAsia="Times New Roman" w:hAnsiTheme="majorHAnsi"/>
          <w:sz w:val="22"/>
          <w:szCs w:val="22"/>
          <w:lang w:eastAsia="fr-FR"/>
        </w:rPr>
        <w:t>alorisation de la propriété intellectuelle. Protection de la propriété intellectuelle</w:t>
      </w:r>
      <w:r>
        <w:rPr>
          <w:rFonts w:asciiTheme="majorHAnsi" w:hAnsiTheme="majorHAnsi" w:cs="Calibri"/>
          <w:bCs/>
          <w:sz w:val="22"/>
          <w:szCs w:val="22"/>
        </w:rPr>
        <w:t xml:space="preserve"> en Algérie.</w:t>
      </w:r>
    </w:p>
    <w:p w:rsidR="00A356AF" w:rsidRDefault="00A356AF"/>
    <w:sectPr w:rsidR="00A356AF" w:rsidSect="00A35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E09"/>
    <w:multiLevelType w:val="hybridMultilevel"/>
    <w:tmpl w:val="7AEC48A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B0838"/>
    <w:multiLevelType w:val="hybridMultilevel"/>
    <w:tmpl w:val="75ACBEE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6A7BB2"/>
    <w:multiLevelType w:val="hybridMultilevel"/>
    <w:tmpl w:val="669CFE92"/>
    <w:lvl w:ilvl="0" w:tplc="012E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37C57"/>
    <w:multiLevelType w:val="hybridMultilevel"/>
    <w:tmpl w:val="B3180D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A4920"/>
    <w:multiLevelType w:val="hybridMultilevel"/>
    <w:tmpl w:val="B888BAB6"/>
    <w:lvl w:ilvl="0" w:tplc="EED627F6">
      <w:start w:val="1"/>
      <w:numFmt w:val="upperRoman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hyphenationZone w:val="425"/>
  <w:characterSpacingControl w:val="doNotCompress"/>
  <w:compat/>
  <w:rsids>
    <w:rsidRoot w:val="005F47B8"/>
    <w:rsid w:val="005F47B8"/>
    <w:rsid w:val="00A3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7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5F47B8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5F47B8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2892</Characters>
  <Application>Microsoft Office Word</Application>
  <DocSecurity>0</DocSecurity>
  <Lines>24</Lines>
  <Paragraphs>6</Paragraphs>
  <ScaleCrop>false</ScaleCrop>
  <Company>PC 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2023-03-05T21:55:00Z</dcterms:created>
  <dcterms:modified xsi:type="dcterms:W3CDTF">2023-03-05T22:05:00Z</dcterms:modified>
</cp:coreProperties>
</file>