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0B" w:rsidRPr="002320AF" w:rsidRDefault="00AE710B" w:rsidP="006576F3">
      <w:pPr>
        <w:tabs>
          <w:tab w:val="num" w:pos="720"/>
        </w:tabs>
        <w:spacing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20AF">
        <w:rPr>
          <w:rFonts w:ascii="Times New Roman" w:hAnsi="Times New Roman" w:cs="Times New Roman"/>
          <w:b/>
          <w:bCs/>
          <w:sz w:val="28"/>
          <w:szCs w:val="28"/>
          <w:lang w:val="fr-FR"/>
        </w:rPr>
        <w:t>La sonde nucléique</w:t>
      </w:r>
    </w:p>
    <w:p w:rsidR="00AE710B" w:rsidRPr="00C86CF0" w:rsidRDefault="006576F3" w:rsidP="006576F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86CF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Définition :</w:t>
      </w:r>
      <w:r w:rsidRPr="00C86C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710B" w:rsidRPr="00C86C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fr-FR"/>
        </w:rPr>
        <w:t xml:space="preserve">C’est une courte séquence d’acide nucléique </w:t>
      </w:r>
      <w:r w:rsidR="00AE710B"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marquée </w:t>
      </w:r>
      <w:r w:rsidR="00AE710B" w:rsidRPr="00C86C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fr-FR"/>
        </w:rPr>
        <w:t>utilisée pour hybrider et détecter des séquences homologues, elles doivent être spécifiques et sensibles et ne s’associent qu’avec une séquence complémentaire.</w:t>
      </w:r>
    </w:p>
    <w:p w:rsidR="00AE710B" w:rsidRPr="00C86CF0" w:rsidRDefault="001A4431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Type de </w:t>
      </w:r>
      <w:r w:rsidR="006576F3" w:rsidRPr="001A443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>marquage</w:t>
      </w:r>
      <w:r w:rsidR="006576F3"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:</w:t>
      </w:r>
      <w:r w:rsidR="00AE710B" w:rsidRPr="00C86C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</w:t>
      </w:r>
    </w:p>
    <w:p w:rsidR="00AE710B" w:rsidRPr="00C86CF0" w:rsidRDefault="001A4431" w:rsidP="006576F3">
      <w:pPr>
        <w:pStyle w:val="Paragraphedeliste"/>
        <w:numPr>
          <w:ilvl w:val="0"/>
          <w:numId w:val="2"/>
        </w:numPr>
        <w:spacing w:line="360" w:lineRule="auto"/>
        <w:jc w:val="both"/>
      </w:pPr>
      <w:r w:rsidRPr="00C86CF0">
        <w:rPr>
          <w:rFonts w:eastAsiaTheme="minorEastAsia"/>
          <w:b/>
          <w:bCs/>
          <w:color w:val="000000" w:themeColor="text1"/>
          <w:kern w:val="24"/>
        </w:rPr>
        <w:t>Marquage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6576F3" w:rsidRPr="00C86CF0">
        <w:rPr>
          <w:rFonts w:eastAsiaTheme="minorEastAsia"/>
          <w:b/>
          <w:bCs/>
          <w:color w:val="000000" w:themeColor="text1"/>
          <w:kern w:val="24"/>
        </w:rPr>
        <w:t>radioactif :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1A4431">
        <w:rPr>
          <w:rFonts w:eastAsiaTheme="minorEastAsia"/>
          <w:color w:val="000000" w:themeColor="text1"/>
          <w:kern w:val="24"/>
        </w:rPr>
        <w:t>par utilisation des isotopes</w:t>
      </w:r>
      <w:r w:rsidR="00AE710B" w:rsidRPr="001A4431">
        <w:rPr>
          <w:rFonts w:eastAsiaTheme="minorEastAsia"/>
          <w:color w:val="000000" w:themeColor="text1"/>
          <w:kern w:val="24"/>
          <w:position w:val="14"/>
          <w:vertAlign w:val="superscript"/>
        </w:rPr>
        <w:t>32</w:t>
      </w:r>
      <w:r w:rsidR="00AE710B" w:rsidRPr="001A4431">
        <w:rPr>
          <w:rFonts w:eastAsiaTheme="minorEastAsia"/>
          <w:color w:val="000000" w:themeColor="text1"/>
          <w:kern w:val="24"/>
        </w:rPr>
        <w:t>P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AE710B" w:rsidRPr="00C86CF0">
        <w:rPr>
          <w:rFonts w:eastAsiaTheme="minorEastAsia"/>
          <w:b/>
          <w:bCs/>
          <w:color w:val="000000" w:themeColor="text1"/>
          <w:kern w:val="24"/>
          <w:position w:val="14"/>
          <w:vertAlign w:val="superscript"/>
        </w:rPr>
        <w:t>35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S, </w:t>
      </w:r>
      <w:r w:rsidR="00AE710B" w:rsidRPr="00C86CF0">
        <w:rPr>
          <w:rFonts w:eastAsiaTheme="minorEastAsia"/>
          <w:b/>
          <w:bCs/>
          <w:color w:val="000000" w:themeColor="text1"/>
          <w:kern w:val="24"/>
          <w:position w:val="14"/>
          <w:vertAlign w:val="superscript"/>
        </w:rPr>
        <w:t>3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>H</w:t>
      </w:r>
    </w:p>
    <w:p w:rsidR="001A4431" w:rsidRPr="001A4431" w:rsidRDefault="001A4431" w:rsidP="001A4431">
      <w:pPr>
        <w:pStyle w:val="Paragraphedeliste"/>
        <w:numPr>
          <w:ilvl w:val="0"/>
          <w:numId w:val="2"/>
        </w:numPr>
        <w:spacing w:line="360" w:lineRule="auto"/>
        <w:jc w:val="both"/>
      </w:pPr>
      <w:r w:rsidRPr="00C86CF0">
        <w:rPr>
          <w:rFonts w:eastAsiaTheme="minorEastAsia"/>
          <w:b/>
          <w:bCs/>
          <w:color w:val="000000" w:themeColor="text1"/>
          <w:kern w:val="24"/>
        </w:rPr>
        <w:t>Marquage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6576F3" w:rsidRPr="00C86CF0">
        <w:rPr>
          <w:rFonts w:eastAsiaTheme="minorEastAsia"/>
          <w:b/>
          <w:bCs/>
          <w:color w:val="000000" w:themeColor="text1"/>
          <w:kern w:val="24"/>
        </w:rPr>
        <w:t>froid :</w:t>
      </w:r>
      <w:r w:rsidR="00AE710B" w:rsidRPr="00C86CF0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AE710B" w:rsidRPr="00C86CF0">
        <w:rPr>
          <w:rFonts w:eastAsiaTheme="minorEastAsia"/>
          <w:color w:val="000000" w:themeColor="text1"/>
          <w:kern w:val="24"/>
        </w:rPr>
        <w:t>qui utilisent des molécules aux propriétés fluorescentes</w:t>
      </w:r>
    </w:p>
    <w:p w:rsidR="00AE710B" w:rsidRPr="00C86CF0" w:rsidRDefault="00AE710B" w:rsidP="001A4431">
      <w:pPr>
        <w:pStyle w:val="Paragraphedeliste"/>
        <w:spacing w:line="360" w:lineRule="auto"/>
        <w:jc w:val="both"/>
      </w:pPr>
      <w:r w:rsidRPr="001A4431">
        <w:rPr>
          <w:rFonts w:eastAsiaTheme="minorEastAsia"/>
          <w:color w:val="000000" w:themeColor="text1"/>
          <w:kern w:val="24"/>
        </w:rPr>
        <w:t xml:space="preserve">- </w:t>
      </w:r>
      <w:r w:rsidR="006576F3" w:rsidRPr="001A4431">
        <w:rPr>
          <w:rFonts w:eastAsiaTheme="minorEastAsia"/>
          <w:b/>
          <w:bCs/>
          <w:color w:val="000000" w:themeColor="text1"/>
          <w:kern w:val="24"/>
        </w:rPr>
        <w:t>direct :</w:t>
      </w:r>
      <w:r w:rsidRPr="001A4431">
        <w:rPr>
          <w:rFonts w:eastAsiaTheme="minorEastAsia"/>
          <w:color w:val="000000" w:themeColor="text1"/>
          <w:kern w:val="24"/>
        </w:rPr>
        <w:t xml:space="preserve"> </w:t>
      </w:r>
      <w:r w:rsidR="006576F3" w:rsidRPr="001A4431">
        <w:rPr>
          <w:rFonts w:eastAsiaTheme="minorEastAsia"/>
          <w:color w:val="000000" w:themeColor="text1"/>
          <w:kern w:val="24"/>
        </w:rPr>
        <w:t>les nucléotides</w:t>
      </w:r>
      <w:r w:rsidRPr="001A4431">
        <w:rPr>
          <w:rFonts w:eastAsiaTheme="minorEastAsia"/>
          <w:color w:val="000000" w:themeColor="text1"/>
          <w:kern w:val="24"/>
        </w:rPr>
        <w:t xml:space="preserve"> sont modifiés par un fluorophore, Groupe    chimique qui fluoresce quand il est exposé à une </w:t>
      </w:r>
      <w:r w:rsidR="006576F3" w:rsidRPr="001A4431">
        <w:rPr>
          <w:rFonts w:eastAsiaTheme="minorEastAsia"/>
          <w:color w:val="000000" w:themeColor="text1"/>
          <w:kern w:val="24"/>
        </w:rPr>
        <w:t>longueur d’onde</w:t>
      </w:r>
      <w:r w:rsidRPr="001A4431">
        <w:rPr>
          <w:rFonts w:eastAsiaTheme="minorEastAsia"/>
          <w:color w:val="000000" w:themeColor="text1"/>
          <w:kern w:val="24"/>
        </w:rPr>
        <w:t xml:space="preserve"> donnée. </w:t>
      </w:r>
    </w:p>
    <w:p w:rsidR="00AE710B" w:rsidRPr="00C86CF0" w:rsidRDefault="00AE710B" w:rsidP="006576F3">
      <w:pPr>
        <w:pStyle w:val="NormalWeb"/>
        <w:spacing w:before="115" w:beforeAutospacing="0" w:after="0" w:afterAutospacing="0" w:line="360" w:lineRule="auto"/>
        <w:jc w:val="both"/>
      </w:pPr>
      <w:r w:rsidRPr="00C86CF0">
        <w:rPr>
          <w:rFonts w:eastAsiaTheme="minorEastAsia"/>
          <w:color w:val="000000" w:themeColor="text1"/>
          <w:kern w:val="24"/>
        </w:rPr>
        <w:tab/>
      </w:r>
      <w:r w:rsidRPr="00C86CF0">
        <w:rPr>
          <w:rFonts w:eastAsiaTheme="minorEastAsia"/>
          <w:b/>
          <w:bCs/>
          <w:color w:val="000000" w:themeColor="text1"/>
          <w:kern w:val="24"/>
        </w:rPr>
        <w:t xml:space="preserve">- indirect </w:t>
      </w:r>
      <w:r w:rsidRPr="00C86CF0">
        <w:rPr>
          <w:rFonts w:eastAsiaTheme="minorEastAsia"/>
          <w:color w:val="000000" w:themeColor="text1"/>
          <w:kern w:val="24"/>
        </w:rPr>
        <w:t>– nucléotide marqué par un reporter qui sera repéré par une molécule affine.</w:t>
      </w:r>
    </w:p>
    <w:p w:rsidR="00AE710B" w:rsidRPr="00C86CF0" w:rsidRDefault="00AE710B" w:rsidP="006576F3">
      <w:pPr>
        <w:pStyle w:val="NormalWeb"/>
        <w:spacing w:before="115" w:beforeAutospacing="0" w:after="0" w:afterAutospacing="0" w:line="360" w:lineRule="auto"/>
        <w:jc w:val="both"/>
      </w:pPr>
    </w:p>
    <w:p w:rsidR="00AE710B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Stratégies</w:t>
      </w:r>
      <w:proofErr w:type="spellEnd"/>
      <w:r w:rsidR="00AE710B"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de </w:t>
      </w:r>
      <w:proofErr w:type="spellStart"/>
      <w:r w:rsidR="00AE710B"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marquage</w:t>
      </w:r>
      <w:proofErr w:type="spellEnd"/>
      <w:r w:rsidR="00AE710B" w:rsidRPr="00C86C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:</w:t>
      </w:r>
    </w:p>
    <w:p w:rsidR="00AE710B" w:rsidRPr="00C86CF0" w:rsidRDefault="00AE710B" w:rsidP="006576F3">
      <w:pPr>
        <w:pStyle w:val="Paragraphedeliste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C86CF0">
        <w:rPr>
          <w:rFonts w:eastAsiaTheme="minorEastAsia"/>
          <w:color w:val="000000" w:themeColor="text1"/>
          <w:kern w:val="24"/>
          <w:lang w:val="en-US"/>
        </w:rPr>
        <w:t>Nick translation:(</w:t>
      </w:r>
      <w:proofErr w:type="spellStart"/>
      <w:r w:rsidRPr="00C86CF0">
        <w:rPr>
          <w:rFonts w:eastAsiaTheme="minorEastAsia"/>
          <w:color w:val="000000" w:themeColor="text1"/>
          <w:kern w:val="24"/>
          <w:lang w:val="en-US"/>
        </w:rPr>
        <w:t>ADNase</w:t>
      </w:r>
      <w:proofErr w:type="spellEnd"/>
      <w:r w:rsidRPr="00C86CF0">
        <w:rPr>
          <w:rFonts w:eastAsiaTheme="minorEastAsia"/>
          <w:color w:val="000000" w:themeColor="text1"/>
          <w:kern w:val="24"/>
          <w:lang w:val="en-US"/>
        </w:rPr>
        <w:t>, ADN pol I)</w:t>
      </w:r>
    </w:p>
    <w:p w:rsidR="00AE710B" w:rsidRPr="00C86CF0" w:rsidRDefault="00AE710B" w:rsidP="006576F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C86CF0">
        <w:rPr>
          <w:rFonts w:eastAsiaTheme="minorEastAsia"/>
          <w:color w:val="000000" w:themeColor="text1"/>
          <w:kern w:val="24"/>
        </w:rPr>
        <w:t xml:space="preserve">Multi-amorçage au hasard ou </w:t>
      </w:r>
      <w:proofErr w:type="spellStart"/>
      <w:r w:rsidRPr="00C86CF0">
        <w:rPr>
          <w:rFonts w:eastAsiaTheme="minorEastAsia"/>
          <w:color w:val="000000" w:themeColor="text1"/>
          <w:kern w:val="24"/>
        </w:rPr>
        <w:t>Random</w:t>
      </w:r>
      <w:proofErr w:type="spellEnd"/>
      <w:r w:rsidRPr="00C86CF0">
        <w:rPr>
          <w:rFonts w:eastAsiaTheme="minorEastAsia"/>
          <w:color w:val="000000" w:themeColor="text1"/>
          <w:kern w:val="24"/>
        </w:rPr>
        <w:t xml:space="preserve">-priming </w:t>
      </w:r>
    </w:p>
    <w:p w:rsidR="001A4431" w:rsidRPr="00C86CF0" w:rsidRDefault="001A4431" w:rsidP="001A4431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C86CF0">
        <w:rPr>
          <w:rFonts w:eastAsiaTheme="minorEastAsia"/>
          <w:color w:val="000000" w:themeColor="text1"/>
          <w:kern w:val="24"/>
        </w:rPr>
        <w:t xml:space="preserve">Marquage en 5’  </w:t>
      </w:r>
    </w:p>
    <w:p w:rsidR="00AE710B" w:rsidRPr="00C86CF0" w:rsidRDefault="00AE710B" w:rsidP="006576F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C86CF0">
        <w:rPr>
          <w:rFonts w:eastAsiaTheme="minorEastAsia"/>
          <w:color w:val="000000" w:themeColor="text1"/>
          <w:kern w:val="24"/>
        </w:rPr>
        <w:t>Marquage en 3’</w:t>
      </w: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6F3" w:rsidRPr="00C86CF0" w:rsidRDefault="006576F3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CE7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lastRenderedPageBreak/>
        <w:t xml:space="preserve">Nick </w:t>
      </w:r>
      <w:r w:rsidR="00051CE7"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>translation</w:t>
      </w:r>
      <w:r w:rsidR="00051CE7"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:</w:t>
      </w:r>
      <w:r w:rsidR="00F3396F" w:rsidRPr="00C86CF0">
        <w:rPr>
          <w:rStyle w:val="Paragraphedeliste"/>
          <w:rFonts w:ascii="Times New Roman" w:hAnsi="Times New Roman" w:cs="Times New Roman"/>
          <w:color w:val="2E2E2E"/>
          <w:sz w:val="24"/>
          <w:szCs w:val="24"/>
          <w:lang w:val="fr-FR"/>
        </w:rPr>
        <w:t xml:space="preserve"> </w:t>
      </w:r>
      <w:r w:rsidR="00F3396F" w:rsidRPr="00C86CF0">
        <w:rPr>
          <w:rStyle w:val="topic-highlight"/>
          <w:rFonts w:ascii="Times New Roman" w:hAnsi="Times New Roman" w:cs="Times New Roman"/>
          <w:color w:val="2E2E2E"/>
          <w:sz w:val="24"/>
          <w:szCs w:val="24"/>
          <w:lang w:val="fr-FR"/>
        </w:rPr>
        <w:t xml:space="preserve">La </w:t>
      </w:r>
      <w:r w:rsidR="00A75C2B" w:rsidRPr="00C86CF0">
        <w:rPr>
          <w:rStyle w:val="topic-highlight"/>
          <w:rFonts w:ascii="Times New Roman" w:hAnsi="Times New Roman" w:cs="Times New Roman"/>
          <w:color w:val="2E2E2E"/>
          <w:sz w:val="24"/>
          <w:szCs w:val="24"/>
          <w:lang w:val="fr-FR"/>
        </w:rPr>
        <w:t>méthode de Nick translation</w:t>
      </w:r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 xml:space="preserve"> a été la première méthode développée pour incorporer des nucléotides radiomarqués dans l'ADN </w:t>
      </w:r>
      <w:proofErr w:type="gramStart"/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( </w:t>
      </w:r>
      <w:proofErr w:type="spellStart"/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Rigby</w:t>
      </w:r>
      <w:proofErr w:type="spellEnd"/>
      <w:proofErr w:type="gramEnd"/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 </w:t>
      </w:r>
      <w:r w:rsidR="00F3396F" w:rsidRPr="00C86CF0">
        <w:rPr>
          <w:rStyle w:val="Accentuation"/>
          <w:rFonts w:ascii="Times New Roman" w:hAnsi="Times New Roman" w:cs="Times New Roman"/>
          <w:color w:val="2E2E2E"/>
          <w:sz w:val="24"/>
          <w:szCs w:val="24"/>
          <w:lang w:val="fr-FR"/>
        </w:rPr>
        <w:t>et al.,</w:t>
      </w:r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 1977 ) </w:t>
      </w:r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,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1CE7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 xml:space="preserve">La procédure 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repose sur la réparation de cassures (</w:t>
      </w:r>
      <w:proofErr w:type="spellStart"/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nicks</w:t>
      </w:r>
      <w:proofErr w:type="spellEnd"/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) simple brin dans l’ADN, Cette cassure peut être obtenue en utilisant une endonucléas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ADNase</w:t>
      </w:r>
      <w:proofErr w:type="spellEnd"/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I. La cassure ainsi exposée va alors servir de point de départ pour l’introduction de nouveaux nucléotides en utilisant l’ADN 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polymérase,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une enzyme composée de nombreuses sous- unités qui possède des activités d’ADN polymérase et d’exonucléase 5′ → 3′. Alors que l’ADN polymérase ajoute de nouveaux nucléotides</w:t>
      </w:r>
      <w:r w:rsidR="008B676B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marqués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à l’extrémité 3′- hydroxyle de la cassure, les nucléotides sont supprimés à l’autre extrémité de la cassure par l’activité exonucléasique 5′ → 3′ de la même enzyme. La cassure est ainsi progressivement déplacée le long de l’ADN dans la direction 5′ → 3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>′.</w:t>
      </w:r>
      <w:r w:rsidR="00051CE7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C58E4" w:rsidRPr="00C86CF0" w:rsidRDefault="00051CE7" w:rsidP="006576F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</w:pPr>
      <w:r w:rsidRPr="00C86CF0">
        <w:rPr>
          <w:rFonts w:ascii="Times New Roman" w:hAnsi="Times New Roman" w:cs="Times New Roman"/>
          <w:sz w:val="24"/>
          <w:szCs w:val="24"/>
          <w:lang w:val="fr-FR"/>
        </w:rPr>
        <w:t>Si la réaction est réalisée à une température relativement faible (environ 15 °C), elle ne se poursuit par au- delà du renouvellement complet de la séquence nucléotidique existante. Bien qu’il n’y ait pas de synthèse nette d’ADN à cette température, la réaction de synthèse permet l’incorporation de nucléotides marqués à la place de ceux qui existaient précédemment dans le nucléotide non marqué.</w:t>
      </w:r>
      <w:r w:rsidR="00F3396F" w:rsidRPr="00C86CF0">
        <w:rPr>
          <w:rFonts w:ascii="Times New Roman" w:hAnsi="Times New Roman" w:cs="Times New Roman"/>
          <w:color w:val="2E2E2E"/>
          <w:sz w:val="24"/>
          <w:szCs w:val="24"/>
          <w:lang w:val="fr-FR"/>
        </w:rPr>
        <w:t> </w:t>
      </w:r>
    </w:p>
    <w:p w:rsidR="00AE710B" w:rsidRPr="00C86CF0" w:rsidRDefault="006576F3" w:rsidP="00B15559">
      <w:pPr>
        <w:spacing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C86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180846" wp14:editId="2F023920">
            <wp:extent cx="3298795" cy="3969724"/>
            <wp:effectExtent l="0" t="0" r="0" b="0"/>
            <wp:docPr id="106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1" t="25187" r="46477" b="11287"/>
                    <a:stretch/>
                  </pic:blipFill>
                  <pic:spPr bwMode="auto">
                    <a:xfrm>
                      <a:off x="0" y="0"/>
                      <a:ext cx="3313897" cy="39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86CF0" w:rsidRDefault="00C86CF0" w:rsidP="006576F3">
      <w:pPr>
        <w:spacing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:rsidR="00C86CF0" w:rsidRPr="00C86CF0" w:rsidRDefault="00B15559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lastRenderedPageBreak/>
        <w:t>Multi</w:t>
      </w:r>
      <w:r w:rsidR="00AE710B"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 xml:space="preserve">-amorçage au hasard ou </w:t>
      </w:r>
      <w:proofErr w:type="spellStart"/>
      <w:r w:rsidR="00AE710B"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>Random</w:t>
      </w:r>
      <w:proofErr w:type="spellEnd"/>
      <w:r w:rsidR="00AE710B"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>-</w:t>
      </w:r>
      <w:r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fr-FR"/>
        </w:rPr>
        <w:t>priming</w:t>
      </w:r>
      <w:r w:rsidRPr="00C86CF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: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La technique de marquage de l’ADN à l’aide d’amorces aléatoires repose sur l’hybridation d’un mélange de nombreux </w:t>
      </w:r>
      <w:r w:rsidR="00C86CF0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amorces 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différents qui se lient au hasard à des séquences complémentaires de l’ADN matrice dénaturé, et initient la synthèse de nouveaux brins </w:t>
      </w:r>
      <w:r w:rsidR="00C86CF0" w:rsidRPr="00C86CF0">
        <w:rPr>
          <w:rFonts w:ascii="Times New Roman" w:hAnsi="Times New Roman" w:cs="Times New Roman"/>
          <w:sz w:val="24"/>
          <w:szCs w:val="24"/>
          <w:lang w:val="fr-FR"/>
        </w:rPr>
        <w:t>d’ADN.</w:t>
      </w:r>
    </w:p>
    <w:p w:rsidR="00AE710B" w:rsidRPr="00C86CF0" w:rsidRDefault="00B15559" w:rsidP="006576F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</w:pPr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La synthèse des nouveaux brins complémentaires </w:t>
      </w:r>
      <w:r w:rsidR="00C86CF0"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à l’aide des nucléotides marqués 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>est catalysée par l</w:t>
      </w:r>
      <w:r w:rsidR="00C86CF0" w:rsidRPr="00C86CF0">
        <w:rPr>
          <w:rFonts w:ascii="Times New Roman" w:hAnsi="Times New Roman" w:cs="Times New Roman"/>
          <w:sz w:val="24"/>
          <w:szCs w:val="24"/>
          <w:lang w:val="fr-FR"/>
        </w:rPr>
        <w:t>e fragment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86CF0">
        <w:rPr>
          <w:rFonts w:ascii="Times New Roman" w:hAnsi="Times New Roman" w:cs="Times New Roman"/>
          <w:sz w:val="24"/>
          <w:szCs w:val="24"/>
          <w:lang w:val="fr-FR"/>
        </w:rPr>
        <w:t>Klenow</w:t>
      </w:r>
      <w:proofErr w:type="spellEnd"/>
      <w:r w:rsidRPr="00C86CF0">
        <w:rPr>
          <w:rFonts w:ascii="Times New Roman" w:hAnsi="Times New Roman" w:cs="Times New Roman"/>
          <w:sz w:val="24"/>
          <w:szCs w:val="24"/>
          <w:lang w:val="fr-FR"/>
        </w:rPr>
        <w:t xml:space="preserve"> de l’ADN polymérase I d’</w:t>
      </w:r>
      <w:r w:rsidRPr="00C86CF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E. coli </w:t>
      </w:r>
      <w:r w:rsidRPr="00C86CF0">
        <w:rPr>
          <w:rFonts w:ascii="Times New Roman" w:hAnsi="Times New Roman" w:cs="Times New Roman"/>
          <w:sz w:val="24"/>
          <w:szCs w:val="24"/>
          <w:lang w:val="fr-FR"/>
        </w:rPr>
        <w:t>(qui contient l’activité de polymérase sans l’activité exonucléasique 5′ → 3′ associée).</w:t>
      </w:r>
    </w:p>
    <w:p w:rsidR="00AE710B" w:rsidRPr="00C86CF0" w:rsidRDefault="00AE710B" w:rsidP="004E30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86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622568" wp14:editId="4958F0AF">
            <wp:extent cx="2951018" cy="3768435"/>
            <wp:effectExtent l="0" t="0" r="1905" b="3810"/>
            <wp:docPr id="208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2" t="7495" r="53109"/>
                    <a:stretch/>
                  </pic:blipFill>
                  <pic:spPr bwMode="auto">
                    <a:xfrm>
                      <a:off x="0" y="0"/>
                      <a:ext cx="2986357" cy="381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65E5" w:rsidRDefault="005E65E5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65E5" w:rsidRDefault="005E65E5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65E5" w:rsidRPr="00C86CF0" w:rsidRDefault="005E65E5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1A4431" w:rsidRDefault="000B03EF" w:rsidP="006576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lastRenderedPageBreak/>
        <w:t>Marquage</w:t>
      </w:r>
      <w:r w:rsidR="00AE710B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</w:t>
      </w:r>
      <w:r w:rsidR="004D5A93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>à</w:t>
      </w:r>
      <w:r w:rsidR="004E306A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l’</w:t>
      </w:r>
      <w:r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>extrémité</w:t>
      </w:r>
      <w:r w:rsidR="004E306A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</w:t>
      </w:r>
      <w:r w:rsidR="00AE710B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5’ </w:t>
      </w:r>
      <w:r w:rsidR="00270DF4" w:rsidRPr="001A443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: </w:t>
      </w:r>
      <w:r w:rsidR="004D5A93" w:rsidRPr="001A4431">
        <w:rPr>
          <w:rFonts w:ascii="Times New Roman" w:hAnsi="Times New Roman" w:cs="Times New Roman"/>
          <w:color w:val="000000"/>
          <w:sz w:val="24"/>
          <w:szCs w:val="24"/>
          <w:lang w:val="fr-FR"/>
        </w:rPr>
        <w:t>La polynucléotide kinase catalyse le transfert du phosphate de l’ATP sur une fonction alcool du carbone 5’ d’un ADN ou d’un ARN. L</w:t>
      </w:r>
      <w:r w:rsidR="001A4431" w:rsidRPr="001A443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 séquence a marqué doit subir </w:t>
      </w:r>
      <w:r w:rsidR="004D5A93" w:rsidRPr="001A4431">
        <w:rPr>
          <w:rFonts w:ascii="Times New Roman" w:hAnsi="Times New Roman" w:cs="Times New Roman"/>
          <w:color w:val="000000"/>
          <w:sz w:val="24"/>
          <w:szCs w:val="24"/>
          <w:lang w:val="fr-FR"/>
        </w:rPr>
        <w:t>une déphosphorylation </w:t>
      </w:r>
      <w:r w:rsidR="001A4431" w:rsidRPr="001A4431">
        <w:rPr>
          <w:rFonts w:ascii="Times New Roman" w:hAnsi="Times New Roman" w:cs="Times New Roman"/>
          <w:color w:val="000000"/>
          <w:sz w:val="24"/>
          <w:szCs w:val="24"/>
          <w:lang w:val="fr-FR"/>
        </w:rPr>
        <w:t>par la phosphatase alcaline.</w:t>
      </w:r>
    </w:p>
    <w:p w:rsidR="00AE710B" w:rsidRPr="00C86CF0" w:rsidRDefault="00AE710B" w:rsidP="006576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86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F799F9" wp14:editId="7B4616AB">
            <wp:extent cx="4527184" cy="3239692"/>
            <wp:effectExtent l="0" t="0" r="6985" b="0"/>
            <wp:docPr id="4" name="Picture 2" descr="marquage_oli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marquage_oligo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513" cy="3265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270DF4" w:rsidRDefault="00270DF4" w:rsidP="006576F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</w:pPr>
      <w:r w:rsidRPr="00270DF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>Marquage</w:t>
      </w:r>
      <w:r w:rsidR="00AE710B" w:rsidRPr="00270DF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en 3’</w:t>
      </w:r>
      <w:r w:rsidRPr="00270DF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 : </w:t>
      </w:r>
      <w:r w:rsidRPr="00270DF4">
        <w:rPr>
          <w:rFonts w:ascii="Times New Roman" w:hAnsi="Times New Roman" w:cs="Times New Roman"/>
          <w:color w:val="000000"/>
          <w:sz w:val="24"/>
          <w:szCs w:val="24"/>
          <w:lang w:val="fr-FR"/>
        </w:rPr>
        <w:t>La transférase terminale catalyse l’addition de désoxynucléotides sur une fonction alcool 3’OH terminale de l’ADN.</w:t>
      </w:r>
      <w:r w:rsidRPr="00270DF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Il suffit d’utiliser les nucléotides marqués.</w:t>
      </w: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00F8" w:rsidRPr="00C86CF0" w:rsidRDefault="008100F8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E710B" w:rsidRPr="00C86CF0" w:rsidRDefault="00AE710B" w:rsidP="00657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E710B" w:rsidRPr="00C8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6C6A"/>
    <w:multiLevelType w:val="hybridMultilevel"/>
    <w:tmpl w:val="C486F238"/>
    <w:lvl w:ilvl="0" w:tplc="15D4B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6A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D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CD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69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E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A7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05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51AB2"/>
    <w:multiLevelType w:val="hybridMultilevel"/>
    <w:tmpl w:val="AA2AB4D2"/>
    <w:lvl w:ilvl="0" w:tplc="4AF4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03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C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A0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A1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A1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4F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E4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6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D82740"/>
    <w:multiLevelType w:val="hybridMultilevel"/>
    <w:tmpl w:val="EE26C370"/>
    <w:lvl w:ilvl="0" w:tplc="32BE2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60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E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E6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67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C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07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A0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27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0B"/>
    <w:rsid w:val="00051CE7"/>
    <w:rsid w:val="000B03EF"/>
    <w:rsid w:val="001A4431"/>
    <w:rsid w:val="002320AF"/>
    <w:rsid w:val="00270DF4"/>
    <w:rsid w:val="004D5A93"/>
    <w:rsid w:val="004E306A"/>
    <w:rsid w:val="005E65E5"/>
    <w:rsid w:val="006576F3"/>
    <w:rsid w:val="00704621"/>
    <w:rsid w:val="008100F8"/>
    <w:rsid w:val="008B676B"/>
    <w:rsid w:val="00A31DFE"/>
    <w:rsid w:val="00A75C2B"/>
    <w:rsid w:val="00AE710B"/>
    <w:rsid w:val="00B15559"/>
    <w:rsid w:val="00BF11B0"/>
    <w:rsid w:val="00C86CF0"/>
    <w:rsid w:val="00E57BF0"/>
    <w:rsid w:val="00F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F9FE"/>
  <w15:chartTrackingRefBased/>
  <w15:docId w15:val="{51EEE7BE-CE8A-4A7C-AC31-370DA23B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AE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opic-highlight">
    <w:name w:val="topic-highlight"/>
    <w:basedOn w:val="Policepardfaut"/>
    <w:rsid w:val="00F3396F"/>
  </w:style>
  <w:style w:type="character" w:styleId="Accentuation">
    <w:name w:val="Emphasis"/>
    <w:basedOn w:val="Policepardfaut"/>
    <w:uiPriority w:val="20"/>
    <w:qFormat/>
    <w:rsid w:val="00F3396F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F3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7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53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cchahra 22</dc:creator>
  <cp:keywords/>
  <dc:description/>
  <cp:lastModifiedBy>cchahra 22</cp:lastModifiedBy>
  <cp:revision>10</cp:revision>
  <dcterms:created xsi:type="dcterms:W3CDTF">2020-04-21T21:25:00Z</dcterms:created>
  <dcterms:modified xsi:type="dcterms:W3CDTF">2020-04-22T22:58:00Z</dcterms:modified>
</cp:coreProperties>
</file>