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8E4" w:rsidRPr="004317BE" w:rsidRDefault="003D6DE6" w:rsidP="004317BE">
      <w:pPr>
        <w:spacing w:line="360" w:lineRule="auto"/>
        <w:jc w:val="center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  <w:lang w:val="fr-FR"/>
        </w:rPr>
      </w:pPr>
      <w:r w:rsidRPr="004317BE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fldChar w:fldCharType="begin"/>
      </w:r>
      <w:r w:rsidRPr="004317BE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  <w:lang w:val="fr-FR"/>
        </w:rPr>
        <w:instrText xml:space="preserve"> HYPERLINK "http://fr.wikipedia.org/wiki/S%C3%A9quen%C3%A7age_de_l'ADN" </w:instrText>
      </w:r>
      <w:r w:rsidRPr="004317BE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fldChar w:fldCharType="separate"/>
      </w:r>
      <w:r w:rsidRPr="004317BE">
        <w:rPr>
          <w:rStyle w:val="Lienhypertexte"/>
          <w:rFonts w:ascii="Times New Roman" w:eastAsiaTheme="majorEastAsia" w:hAnsi="Times New Roman" w:cs="Times New Roman"/>
          <w:b/>
          <w:bCs/>
          <w:color w:val="auto"/>
          <w:kern w:val="24"/>
          <w:sz w:val="28"/>
          <w:szCs w:val="28"/>
          <w:lang w:val="fr-FR"/>
        </w:rPr>
        <w:t>Séquençage de l'ADN</w:t>
      </w:r>
      <w:r w:rsidRPr="004317BE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fldChar w:fldCharType="end"/>
      </w:r>
    </w:p>
    <w:p w:rsidR="00417F45" w:rsidRPr="006B2B84" w:rsidRDefault="00407832" w:rsidP="006B2B84">
      <w:pPr>
        <w:pStyle w:val="Paragraphedeliste"/>
        <w:numPr>
          <w:ilvl w:val="0"/>
          <w:numId w:val="20"/>
        </w:numPr>
        <w:spacing w:line="360" w:lineRule="auto"/>
        <w:jc w:val="both"/>
        <w:rPr>
          <w:rFonts w:eastAsiaTheme="majorEastAsia"/>
          <w:b/>
          <w:bCs/>
          <w:kern w:val="24"/>
        </w:rPr>
      </w:pPr>
      <w:r w:rsidRPr="006B2B84">
        <w:rPr>
          <w:rFonts w:eastAsiaTheme="majorEastAsia"/>
          <w:b/>
          <w:bCs/>
          <w:kern w:val="24"/>
        </w:rPr>
        <w:t xml:space="preserve">La méthode </w:t>
      </w:r>
      <w:r w:rsidR="00E6415A" w:rsidRPr="006B2B84">
        <w:rPr>
          <w:rFonts w:eastAsiaTheme="majorEastAsia"/>
          <w:b/>
          <w:bCs/>
          <w:kern w:val="24"/>
        </w:rPr>
        <w:t>enzymatique</w:t>
      </w:r>
      <w:r w:rsidR="004317BE" w:rsidRPr="006B2B84">
        <w:rPr>
          <w:rFonts w:eastAsiaTheme="majorEastAsia"/>
          <w:b/>
          <w:bCs/>
          <w:kern w:val="24"/>
        </w:rPr>
        <w:t xml:space="preserve"> (méthode de sanger)</w:t>
      </w:r>
      <w:r w:rsidR="00E6415A" w:rsidRPr="006B2B84">
        <w:rPr>
          <w:rFonts w:eastAsiaTheme="majorEastAsia"/>
          <w:b/>
          <w:bCs/>
          <w:kern w:val="24"/>
        </w:rPr>
        <w:t xml:space="preserve"> : </w:t>
      </w:r>
      <w:r w:rsidR="003D6DE6" w:rsidRPr="006B2B84">
        <w:rPr>
          <w:rFonts w:eastAsiaTheme="minorEastAsia"/>
          <w:kern w:val="24"/>
        </w:rPr>
        <w:t>C’est une technique permettant de définir l'ordre des</w:t>
      </w:r>
      <w:r w:rsidR="00E6415A" w:rsidRPr="006B2B84">
        <w:rPr>
          <w:rFonts w:eastAsiaTheme="minorEastAsia"/>
          <w:kern w:val="24"/>
        </w:rPr>
        <w:t xml:space="preserve"> </w:t>
      </w:r>
      <w:r w:rsidR="003D6DE6" w:rsidRPr="006B2B84">
        <w:rPr>
          <w:rFonts w:eastAsiaTheme="minorEastAsia"/>
          <w:kern w:val="24"/>
        </w:rPr>
        <w:t xml:space="preserve">nucléotides d'un fragment d'ADN </w:t>
      </w:r>
      <w:r w:rsidR="00865DB1" w:rsidRPr="006B2B84">
        <w:rPr>
          <w:rFonts w:eastAsiaTheme="minorEastAsia"/>
          <w:kern w:val="24"/>
        </w:rPr>
        <w:t xml:space="preserve">donné, la </w:t>
      </w:r>
      <w:r w:rsidR="00CC4E5D" w:rsidRPr="006B2B84">
        <w:rPr>
          <w:rFonts w:eastAsiaTheme="minorEastAsia"/>
          <w:kern w:val="24"/>
          <w:lang w:val="fr-CA"/>
        </w:rPr>
        <w:t>m</w:t>
      </w:r>
      <w:r w:rsidR="00417F45" w:rsidRPr="006B2B84">
        <w:rPr>
          <w:rFonts w:eastAsiaTheme="minorEastAsia"/>
          <w:kern w:val="24"/>
          <w:lang w:val="fr-CA"/>
        </w:rPr>
        <w:t xml:space="preserve">éthode </w:t>
      </w:r>
      <w:r w:rsidR="00865DB1" w:rsidRPr="006B2B84">
        <w:rPr>
          <w:rFonts w:eastAsiaTheme="minorEastAsia"/>
          <w:kern w:val="24"/>
          <w:lang w:val="fr-CA"/>
        </w:rPr>
        <w:t xml:space="preserve">est </w:t>
      </w:r>
      <w:r w:rsidR="00417F45" w:rsidRPr="006B2B84">
        <w:rPr>
          <w:rFonts w:eastAsiaTheme="minorEastAsia"/>
          <w:kern w:val="24"/>
          <w:lang w:val="fr-CA"/>
        </w:rPr>
        <w:t xml:space="preserve">basée sur l'arrêt de la synthèse par l'incorporation de </w:t>
      </w:r>
      <w:bookmarkStart w:id="0" w:name="_Hlk40396664"/>
      <w:proofErr w:type="spellStart"/>
      <w:r w:rsidR="00417F45" w:rsidRPr="006B2B84">
        <w:rPr>
          <w:rFonts w:eastAsiaTheme="minorEastAsia"/>
          <w:kern w:val="24"/>
          <w:lang w:val="fr-CA"/>
        </w:rPr>
        <w:t>didésoxynucléotides</w:t>
      </w:r>
      <w:bookmarkEnd w:id="0"/>
      <w:proofErr w:type="spellEnd"/>
      <w:r w:rsidR="00CC4E5D" w:rsidRPr="006B2B84">
        <w:rPr>
          <w:rFonts w:eastAsiaTheme="minorEastAsia"/>
          <w:kern w:val="24"/>
          <w:lang w:val="fr-CA"/>
        </w:rPr>
        <w:t>.</w:t>
      </w:r>
    </w:p>
    <w:p w:rsidR="00417F45" w:rsidRPr="004317BE" w:rsidRDefault="00417F45" w:rsidP="004317BE">
      <w:pPr>
        <w:pStyle w:val="Paragraphedeliste"/>
        <w:numPr>
          <w:ilvl w:val="0"/>
          <w:numId w:val="3"/>
        </w:numPr>
        <w:spacing w:line="360" w:lineRule="auto"/>
        <w:jc w:val="both"/>
      </w:pPr>
      <w:r w:rsidRPr="004317BE">
        <w:rPr>
          <w:rFonts w:eastAsiaTheme="minorEastAsia"/>
          <w:kern w:val="24"/>
        </w:rPr>
        <w:t xml:space="preserve">Les </w:t>
      </w:r>
      <w:proofErr w:type="spellStart"/>
      <w:r w:rsidR="00865DB1" w:rsidRPr="004317BE">
        <w:rPr>
          <w:rFonts w:eastAsiaTheme="minorEastAsia"/>
          <w:kern w:val="24"/>
          <w:lang w:val="fr-CA"/>
        </w:rPr>
        <w:t>di</w:t>
      </w:r>
      <w:bookmarkStart w:id="1" w:name="_Hlk40396694"/>
      <w:r w:rsidR="00865DB1" w:rsidRPr="004317BE">
        <w:rPr>
          <w:rFonts w:eastAsiaTheme="minorEastAsia"/>
          <w:kern w:val="24"/>
          <w:lang w:val="fr-CA"/>
        </w:rPr>
        <w:t>désoxynucléotides</w:t>
      </w:r>
      <w:bookmarkEnd w:id="1"/>
      <w:proofErr w:type="spellEnd"/>
      <w:r w:rsidR="00865DB1" w:rsidRPr="004317BE">
        <w:rPr>
          <w:rFonts w:eastAsiaTheme="minorEastAsia"/>
          <w:b/>
          <w:bCs/>
          <w:kern w:val="24"/>
        </w:rPr>
        <w:t xml:space="preserve"> (</w:t>
      </w:r>
      <w:r w:rsidRPr="004317BE">
        <w:rPr>
          <w:rFonts w:eastAsiaTheme="minorEastAsia"/>
          <w:b/>
          <w:bCs/>
          <w:kern w:val="24"/>
        </w:rPr>
        <w:t>ddNTP</w:t>
      </w:r>
      <w:r w:rsidR="00865DB1" w:rsidRPr="004317BE">
        <w:rPr>
          <w:rFonts w:eastAsiaTheme="minorEastAsia"/>
          <w:b/>
          <w:bCs/>
          <w:kern w:val="24"/>
        </w:rPr>
        <w:t>)</w:t>
      </w:r>
      <w:r w:rsidRPr="004317BE">
        <w:rPr>
          <w:rFonts w:eastAsiaTheme="minorEastAsia"/>
          <w:b/>
          <w:bCs/>
          <w:kern w:val="24"/>
        </w:rPr>
        <w:t xml:space="preserve"> </w:t>
      </w:r>
      <w:r w:rsidRPr="004317BE">
        <w:rPr>
          <w:rFonts w:eastAsiaTheme="minorEastAsia"/>
          <w:kern w:val="24"/>
        </w:rPr>
        <w:t xml:space="preserve">diffèrent des </w:t>
      </w:r>
      <w:r w:rsidR="00865DB1" w:rsidRPr="004317BE">
        <w:rPr>
          <w:rFonts w:eastAsiaTheme="minorEastAsia"/>
          <w:kern w:val="24"/>
          <w:lang w:val="fr-CA"/>
        </w:rPr>
        <w:t>désoxynucléotides</w:t>
      </w:r>
      <w:r w:rsidR="00865DB1" w:rsidRPr="004317BE">
        <w:rPr>
          <w:rFonts w:eastAsiaTheme="minorEastAsia"/>
          <w:kern w:val="24"/>
          <w:lang w:val="fr-CA"/>
        </w:rPr>
        <w:t xml:space="preserve"> (</w:t>
      </w:r>
      <w:r w:rsidRPr="004317BE">
        <w:rPr>
          <w:rFonts w:eastAsiaTheme="minorEastAsia"/>
          <w:kern w:val="24"/>
        </w:rPr>
        <w:t>dNTP</w:t>
      </w:r>
      <w:r w:rsidR="00865DB1" w:rsidRPr="004317BE">
        <w:rPr>
          <w:rFonts w:eastAsiaTheme="minorEastAsia"/>
          <w:kern w:val="24"/>
        </w:rPr>
        <w:t>)</w:t>
      </w:r>
      <w:r w:rsidRPr="004317BE">
        <w:rPr>
          <w:rFonts w:eastAsiaTheme="minorEastAsia"/>
          <w:kern w:val="24"/>
        </w:rPr>
        <w:t xml:space="preserve"> par l'absence d'un groupement OH en position 3’.</w:t>
      </w:r>
      <w:r w:rsidR="00CC4E5D" w:rsidRPr="004317BE">
        <w:rPr>
          <w:rFonts w:eastAsiaTheme="minorEastAsia"/>
          <w:kern w:val="24"/>
        </w:rPr>
        <w:t xml:space="preserve"> </w:t>
      </w:r>
      <w:r w:rsidRPr="004317BE">
        <w:rPr>
          <w:rFonts w:eastAsiaTheme="minorEastAsia"/>
          <w:kern w:val="24"/>
        </w:rPr>
        <w:t>Ainsi lorsqu'une ADN polymérase utilise un ddNTP, elle n'est plus capable de rajouter</w:t>
      </w:r>
      <w:r w:rsidR="00613664" w:rsidRPr="004317BE">
        <w:rPr>
          <w:rFonts w:eastAsiaTheme="minorEastAsia"/>
          <w:kern w:val="24"/>
        </w:rPr>
        <w:t xml:space="preserve"> un nucléotide</w:t>
      </w:r>
      <w:r w:rsidRPr="004317BE">
        <w:rPr>
          <w:rFonts w:eastAsiaTheme="minorEastAsia"/>
          <w:kern w:val="24"/>
        </w:rPr>
        <w:t xml:space="preserve"> à sa suite : la synthèse du brin d'ADN s'arrête.</w:t>
      </w:r>
    </w:p>
    <w:p w:rsidR="00865DB1" w:rsidRPr="004317BE" w:rsidRDefault="00865DB1" w:rsidP="004317BE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4317BE">
        <w:rPr>
          <w:rFonts w:ascii="Times New Roman" w:hAnsi="Times New Roman" w:cs="Times New Roman"/>
          <w:b/>
          <w:bCs/>
          <w:sz w:val="24"/>
          <w:szCs w:val="24"/>
          <w:lang w:val="fr-FR"/>
        </w:rPr>
        <w:t>Les étapes de la technique :</w:t>
      </w:r>
    </w:p>
    <w:p w:rsidR="00417F45" w:rsidRPr="004317BE" w:rsidRDefault="00417F45" w:rsidP="004317BE">
      <w:pPr>
        <w:pStyle w:val="Paragraphedeliste"/>
        <w:numPr>
          <w:ilvl w:val="0"/>
          <w:numId w:val="3"/>
        </w:numPr>
        <w:spacing w:line="360" w:lineRule="auto"/>
        <w:jc w:val="both"/>
      </w:pPr>
      <w:r w:rsidRPr="004317BE">
        <w:rPr>
          <w:rFonts w:eastAsiaTheme="minorEastAsia"/>
          <w:kern w:val="24"/>
        </w:rPr>
        <w:t xml:space="preserve"> L'ADN à séquencer est fragmenté et cloné dans un vecteur.</w:t>
      </w:r>
    </w:p>
    <w:p w:rsidR="00417F45" w:rsidRPr="004317BE" w:rsidRDefault="00417F45" w:rsidP="004317BE">
      <w:pPr>
        <w:pStyle w:val="Paragraphedeliste"/>
        <w:numPr>
          <w:ilvl w:val="0"/>
          <w:numId w:val="3"/>
        </w:numPr>
        <w:spacing w:line="360" w:lineRule="auto"/>
        <w:jc w:val="both"/>
      </w:pPr>
      <w:r w:rsidRPr="004317BE">
        <w:rPr>
          <w:rFonts w:eastAsiaTheme="minorEastAsia"/>
          <w:kern w:val="24"/>
        </w:rPr>
        <w:t xml:space="preserve"> Les vecteurs recombinants obtenus sont dénaturés sous forme simple brin. On hybride une amorce synthétique à ce brin, qui servira de point de départ à la copie de l'ADN, à proximité de l'insert à séquencer.</w:t>
      </w:r>
    </w:p>
    <w:p w:rsidR="003D6DE6" w:rsidRPr="004317BE" w:rsidRDefault="00613664" w:rsidP="004317BE">
      <w:pPr>
        <w:pStyle w:val="Paragraphedeliste"/>
        <w:spacing w:line="360" w:lineRule="auto"/>
        <w:jc w:val="both"/>
      </w:pPr>
      <w:r w:rsidRPr="004317BE">
        <w:rPr>
          <w:noProof/>
        </w:rPr>
        <w:drawing>
          <wp:inline distT="0" distB="0" distL="0" distR="0" wp14:anchorId="7FE841A0" wp14:editId="5625040E">
            <wp:extent cx="4492978" cy="1266036"/>
            <wp:effectExtent l="0" t="0" r="3175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2221" cy="1274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742DC5" w:rsidRPr="004317BE" w:rsidRDefault="00742DC5" w:rsidP="004317BE">
      <w:pPr>
        <w:pStyle w:val="Paragraphedeliste"/>
        <w:numPr>
          <w:ilvl w:val="0"/>
          <w:numId w:val="5"/>
        </w:numPr>
        <w:spacing w:line="360" w:lineRule="auto"/>
        <w:jc w:val="both"/>
      </w:pPr>
      <w:r w:rsidRPr="004317BE">
        <w:t>Il faut préparer 4 mélanges :</w:t>
      </w:r>
    </w:p>
    <w:p w:rsidR="00742DC5" w:rsidRPr="004317BE" w:rsidRDefault="00742DC5" w:rsidP="004317BE">
      <w:pPr>
        <w:pStyle w:val="Paragraphedeliste"/>
        <w:numPr>
          <w:ilvl w:val="0"/>
          <w:numId w:val="5"/>
        </w:numPr>
        <w:spacing w:line="360" w:lineRule="auto"/>
        <w:jc w:val="both"/>
      </w:pPr>
      <w:r w:rsidRPr="004317BE">
        <w:t>- le fragment qui doit être séquencé</w:t>
      </w:r>
    </w:p>
    <w:p w:rsidR="00742DC5" w:rsidRPr="004317BE" w:rsidRDefault="00742DC5" w:rsidP="004317BE">
      <w:pPr>
        <w:pStyle w:val="Paragraphedeliste"/>
        <w:numPr>
          <w:ilvl w:val="0"/>
          <w:numId w:val="5"/>
        </w:numPr>
        <w:spacing w:line="360" w:lineRule="auto"/>
        <w:jc w:val="both"/>
      </w:pPr>
      <w:r w:rsidRPr="004317BE">
        <w:t xml:space="preserve">- une </w:t>
      </w:r>
      <w:r w:rsidRPr="004317BE">
        <w:rPr>
          <w:b/>
          <w:bCs/>
        </w:rPr>
        <w:t>amorce</w:t>
      </w:r>
    </w:p>
    <w:p w:rsidR="00742DC5" w:rsidRPr="004317BE" w:rsidRDefault="00742DC5" w:rsidP="004317BE">
      <w:pPr>
        <w:pStyle w:val="Paragraphedeliste"/>
        <w:numPr>
          <w:ilvl w:val="0"/>
          <w:numId w:val="5"/>
        </w:numPr>
        <w:spacing w:line="360" w:lineRule="auto"/>
        <w:jc w:val="both"/>
      </w:pPr>
      <w:r w:rsidRPr="004317BE">
        <w:t xml:space="preserve">- les 4 </w:t>
      </w:r>
      <w:proofErr w:type="spellStart"/>
      <w:r w:rsidRPr="004317BE">
        <w:t>dNTP's</w:t>
      </w:r>
      <w:proofErr w:type="spellEnd"/>
      <w:r w:rsidRPr="004317BE">
        <w:t xml:space="preserve"> (dCTP, dATP, </w:t>
      </w:r>
      <w:proofErr w:type="spellStart"/>
      <w:r w:rsidRPr="004317BE">
        <w:t>dGTP</w:t>
      </w:r>
      <w:proofErr w:type="spellEnd"/>
      <w:r w:rsidRPr="004317BE">
        <w:t>, dTTP)</w:t>
      </w:r>
    </w:p>
    <w:p w:rsidR="00742DC5" w:rsidRPr="004317BE" w:rsidRDefault="00742DC5" w:rsidP="004317BE">
      <w:pPr>
        <w:pStyle w:val="Paragraphedeliste"/>
        <w:numPr>
          <w:ilvl w:val="0"/>
          <w:numId w:val="5"/>
        </w:numPr>
        <w:spacing w:line="360" w:lineRule="auto"/>
        <w:jc w:val="both"/>
      </w:pPr>
      <w:r w:rsidRPr="004317BE">
        <w:t>- l'ADN polymérase</w:t>
      </w:r>
    </w:p>
    <w:p w:rsidR="00613664" w:rsidRPr="004317BE" w:rsidRDefault="00CC4E5D" w:rsidP="004317BE">
      <w:pPr>
        <w:pStyle w:val="Paragraphedeliste"/>
        <w:numPr>
          <w:ilvl w:val="0"/>
          <w:numId w:val="5"/>
        </w:numPr>
        <w:spacing w:line="360" w:lineRule="auto"/>
        <w:jc w:val="both"/>
      </w:pPr>
      <w:r w:rsidRPr="004317BE">
        <w:rPr>
          <w:rFonts w:eastAsiaTheme="minorEastAsia"/>
          <w:kern w:val="24"/>
        </w:rPr>
        <w:t>Dans</w:t>
      </w:r>
      <w:r w:rsidR="00613664" w:rsidRPr="004317BE">
        <w:rPr>
          <w:rFonts w:eastAsiaTheme="minorEastAsia"/>
          <w:kern w:val="24"/>
        </w:rPr>
        <w:t xml:space="preserve"> chaque tube, de petites quantités d'un ddNTP fluorescent ou radioactif</w:t>
      </w:r>
      <w:r w:rsidR="00742DC5" w:rsidRPr="004317BE">
        <w:rPr>
          <w:rFonts w:eastAsiaTheme="minorEastAsia"/>
          <w:kern w:val="24"/>
        </w:rPr>
        <w:t xml:space="preserve"> (</w:t>
      </w:r>
      <w:r w:rsidR="00613664" w:rsidRPr="004317BE">
        <w:rPr>
          <w:rFonts w:eastAsiaTheme="minorEastAsia"/>
          <w:kern w:val="24"/>
        </w:rPr>
        <w:t>son incorporation aléatoire stoppant la synthèse</w:t>
      </w:r>
      <w:r w:rsidR="00742DC5" w:rsidRPr="004317BE">
        <w:rPr>
          <w:rFonts w:eastAsiaTheme="minorEastAsia"/>
          <w:kern w:val="24"/>
        </w:rPr>
        <w:t>).</w:t>
      </w:r>
    </w:p>
    <w:p w:rsidR="00613664" w:rsidRPr="004317BE" w:rsidRDefault="00CC4E5D" w:rsidP="004317BE">
      <w:pPr>
        <w:pStyle w:val="Paragraphedeliste"/>
        <w:numPr>
          <w:ilvl w:val="0"/>
          <w:numId w:val="5"/>
        </w:numPr>
        <w:spacing w:line="360" w:lineRule="auto"/>
        <w:jc w:val="both"/>
      </w:pPr>
      <w:r w:rsidRPr="004317BE">
        <w:rPr>
          <w:rFonts w:eastAsiaTheme="minorEastAsia"/>
          <w:kern w:val="24"/>
        </w:rPr>
        <w:t>Grâce</w:t>
      </w:r>
      <w:r w:rsidR="00613664" w:rsidRPr="004317BE">
        <w:rPr>
          <w:rFonts w:eastAsiaTheme="minorEastAsia"/>
          <w:kern w:val="24"/>
        </w:rPr>
        <w:t xml:space="preserve"> à une électrophorèse par capillarité. On obtient à la fin un ensemble de brins d'ADN de tailles variées. (</w:t>
      </w:r>
      <w:r w:rsidRPr="004317BE">
        <w:rPr>
          <w:rFonts w:eastAsiaTheme="minorEastAsia"/>
          <w:kern w:val="24"/>
        </w:rPr>
        <w:t>Utilise</w:t>
      </w:r>
      <w:r w:rsidR="00613664" w:rsidRPr="004317BE">
        <w:rPr>
          <w:rFonts w:eastAsiaTheme="minorEastAsia"/>
          <w:kern w:val="24"/>
        </w:rPr>
        <w:t xml:space="preserve"> un gel de polyacrylamide,</w:t>
      </w:r>
      <w:r w:rsidR="002275F5" w:rsidRPr="004317BE">
        <w:rPr>
          <w:rFonts w:eastAsiaTheme="minorEastAsia"/>
          <w:kern w:val="24"/>
        </w:rPr>
        <w:t xml:space="preserve"> </w:t>
      </w:r>
      <w:r w:rsidR="00613664" w:rsidRPr="004317BE">
        <w:rPr>
          <w:rFonts w:eastAsiaTheme="minorEastAsia"/>
          <w:kern w:val="24"/>
        </w:rPr>
        <w:t>utilisé à des</w:t>
      </w:r>
      <w:r w:rsidR="008B4700" w:rsidRPr="004317BE">
        <w:rPr>
          <w:rFonts w:eastAsiaTheme="minorEastAsia"/>
          <w:kern w:val="24"/>
        </w:rPr>
        <w:t xml:space="preserve"> </w:t>
      </w:r>
      <w:r w:rsidR="00613664" w:rsidRPr="004317BE">
        <w:rPr>
          <w:rFonts w:eastAsiaTheme="minorEastAsia"/>
          <w:kern w:val="24"/>
        </w:rPr>
        <w:t>concentrations comprises entre 4 et 11% : Plus la concentration augmente, plus les fragments séparés sont petits).</w:t>
      </w:r>
    </w:p>
    <w:p w:rsidR="00613664" w:rsidRPr="004317BE" w:rsidRDefault="00613664" w:rsidP="004317BE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fr-FR"/>
        </w:rPr>
      </w:pPr>
      <w:r w:rsidRPr="004317BE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</w:t>
      </w:r>
    </w:p>
    <w:p w:rsidR="00613664" w:rsidRPr="004317BE" w:rsidRDefault="00613664" w:rsidP="006B2B84">
      <w:pPr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4317BE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6D5007B" wp14:editId="387CDD13">
            <wp:extent cx="2648322" cy="2775782"/>
            <wp:effectExtent l="0" t="0" r="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9089" t="20207" r="32598" b="8402"/>
                    <a:stretch/>
                  </pic:blipFill>
                  <pic:spPr bwMode="auto">
                    <a:xfrm>
                      <a:off x="0" y="0"/>
                      <a:ext cx="2655590" cy="2783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3664" w:rsidRPr="004317BE" w:rsidRDefault="00613664" w:rsidP="004317BE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393194" w:rsidRPr="004317BE" w:rsidRDefault="00393194" w:rsidP="004317BE">
      <w:pPr>
        <w:pStyle w:val="Paragraphedeliste"/>
        <w:numPr>
          <w:ilvl w:val="0"/>
          <w:numId w:val="6"/>
        </w:numPr>
        <w:spacing w:line="360" w:lineRule="auto"/>
        <w:jc w:val="both"/>
      </w:pPr>
      <w:r w:rsidRPr="004317BE">
        <w:rPr>
          <w:rFonts w:eastAsiaTheme="minorEastAsia"/>
          <w:kern w:val="24"/>
        </w:rPr>
        <w:t xml:space="preserve">Pour éviter la </w:t>
      </w:r>
      <w:r w:rsidR="00CC4E5D" w:rsidRPr="004317BE">
        <w:rPr>
          <w:rFonts w:eastAsiaTheme="minorEastAsia"/>
          <w:kern w:val="24"/>
        </w:rPr>
        <w:t>radioactivité,</w:t>
      </w:r>
      <w:r w:rsidRPr="004317BE">
        <w:rPr>
          <w:rFonts w:eastAsiaTheme="minorEastAsia"/>
          <w:kern w:val="24"/>
        </w:rPr>
        <w:t xml:space="preserve"> on utilise le marquage chimique par la fluorescence, on utilise </w:t>
      </w:r>
      <w:r w:rsidR="00CC4E5D" w:rsidRPr="004317BE">
        <w:rPr>
          <w:rFonts w:eastAsiaTheme="minorEastAsia"/>
          <w:kern w:val="24"/>
        </w:rPr>
        <w:t>quarts fluorochromes.</w:t>
      </w:r>
    </w:p>
    <w:p w:rsidR="00393194" w:rsidRPr="004317BE" w:rsidRDefault="00393194" w:rsidP="004317BE">
      <w:pPr>
        <w:pStyle w:val="Paragraphedeliste"/>
        <w:numPr>
          <w:ilvl w:val="0"/>
          <w:numId w:val="6"/>
        </w:numPr>
        <w:spacing w:line="360" w:lineRule="auto"/>
        <w:jc w:val="both"/>
      </w:pPr>
      <w:r w:rsidRPr="004317BE">
        <w:rPr>
          <w:rFonts w:eastAsiaTheme="minorEastAsia"/>
          <w:color w:val="70AD47" w:themeColor="accent6"/>
          <w:kern w:val="24"/>
        </w:rPr>
        <w:t>Fluorescéine</w:t>
      </w:r>
      <w:r w:rsidRPr="004317BE">
        <w:rPr>
          <w:rFonts w:eastAsiaTheme="minorEastAsia"/>
          <w:kern w:val="24"/>
        </w:rPr>
        <w:t xml:space="preserve"> de couleur vert pour C</w:t>
      </w:r>
      <w:r w:rsidR="00CC4E5D" w:rsidRPr="004317BE">
        <w:rPr>
          <w:rFonts w:eastAsiaTheme="minorEastAsia"/>
          <w:kern w:val="24"/>
        </w:rPr>
        <w:t>.</w:t>
      </w:r>
      <w:r w:rsidRPr="004317BE">
        <w:rPr>
          <w:rFonts w:eastAsiaTheme="minorEastAsia"/>
          <w:kern w:val="24"/>
        </w:rPr>
        <w:t xml:space="preserve"> </w:t>
      </w:r>
    </w:p>
    <w:p w:rsidR="00393194" w:rsidRPr="004317BE" w:rsidRDefault="00393194" w:rsidP="004317BE">
      <w:pPr>
        <w:pStyle w:val="Paragraphedeliste"/>
        <w:numPr>
          <w:ilvl w:val="0"/>
          <w:numId w:val="6"/>
        </w:numPr>
        <w:spacing w:line="360" w:lineRule="auto"/>
        <w:jc w:val="both"/>
      </w:pPr>
      <w:r w:rsidRPr="004317BE">
        <w:rPr>
          <w:rFonts w:eastAsiaTheme="minorEastAsia"/>
          <w:color w:val="FF0000"/>
          <w:kern w:val="24"/>
        </w:rPr>
        <w:t xml:space="preserve">Rouge </w:t>
      </w:r>
      <w:r w:rsidR="00CC4E5D" w:rsidRPr="004317BE">
        <w:rPr>
          <w:rFonts w:eastAsiaTheme="minorEastAsia"/>
          <w:color w:val="FF0000"/>
          <w:kern w:val="24"/>
        </w:rPr>
        <w:t xml:space="preserve">Texas </w:t>
      </w:r>
      <w:r w:rsidR="00CC4E5D" w:rsidRPr="004317BE">
        <w:rPr>
          <w:rFonts w:eastAsiaTheme="minorEastAsia"/>
          <w:kern w:val="24"/>
        </w:rPr>
        <w:t>pour</w:t>
      </w:r>
      <w:r w:rsidRPr="004317BE">
        <w:rPr>
          <w:rFonts w:eastAsiaTheme="minorEastAsia"/>
          <w:kern w:val="24"/>
        </w:rPr>
        <w:t xml:space="preserve"> A</w:t>
      </w:r>
      <w:r w:rsidR="00CC4E5D" w:rsidRPr="004317BE">
        <w:rPr>
          <w:rFonts w:eastAsiaTheme="minorEastAsia"/>
          <w:kern w:val="24"/>
        </w:rPr>
        <w:t>.</w:t>
      </w:r>
    </w:p>
    <w:p w:rsidR="00393194" w:rsidRPr="004317BE" w:rsidRDefault="00393194" w:rsidP="004317BE">
      <w:pPr>
        <w:pStyle w:val="Paragraphedeliste"/>
        <w:numPr>
          <w:ilvl w:val="0"/>
          <w:numId w:val="6"/>
        </w:numPr>
        <w:spacing w:line="360" w:lineRule="auto"/>
        <w:jc w:val="both"/>
      </w:pPr>
      <w:proofErr w:type="spellStart"/>
      <w:r w:rsidRPr="004317BE">
        <w:rPr>
          <w:rFonts w:eastAsiaTheme="minorEastAsia"/>
          <w:color w:val="FFC000" w:themeColor="accent4"/>
          <w:kern w:val="24"/>
        </w:rPr>
        <w:t>Tetramethyle</w:t>
      </w:r>
      <w:proofErr w:type="spellEnd"/>
      <w:r w:rsidRPr="004317BE">
        <w:rPr>
          <w:rFonts w:eastAsiaTheme="minorEastAsia"/>
          <w:color w:val="FFC000" w:themeColor="accent4"/>
          <w:kern w:val="24"/>
        </w:rPr>
        <w:t xml:space="preserve"> rhodamine </w:t>
      </w:r>
      <w:r w:rsidRPr="004317BE">
        <w:rPr>
          <w:rFonts w:eastAsiaTheme="minorEastAsia"/>
          <w:kern w:val="24"/>
        </w:rPr>
        <w:t>de couleur orange pour T</w:t>
      </w:r>
      <w:r w:rsidR="00CC4E5D" w:rsidRPr="004317BE">
        <w:rPr>
          <w:rFonts w:eastAsiaTheme="minorEastAsia"/>
          <w:kern w:val="24"/>
        </w:rPr>
        <w:t>.</w:t>
      </w:r>
    </w:p>
    <w:p w:rsidR="00393194" w:rsidRPr="004317BE" w:rsidRDefault="00393194" w:rsidP="004317BE">
      <w:pPr>
        <w:pStyle w:val="Paragraphedeliste"/>
        <w:numPr>
          <w:ilvl w:val="0"/>
          <w:numId w:val="6"/>
        </w:numPr>
        <w:spacing w:line="360" w:lineRule="auto"/>
        <w:jc w:val="both"/>
      </w:pPr>
      <w:r w:rsidRPr="004317BE">
        <w:rPr>
          <w:rFonts w:eastAsiaTheme="minorEastAsia"/>
          <w:color w:val="4472C4" w:themeColor="accent1"/>
          <w:kern w:val="24"/>
        </w:rPr>
        <w:t>NBD</w:t>
      </w:r>
      <w:r w:rsidRPr="004317BE">
        <w:rPr>
          <w:rFonts w:eastAsiaTheme="minorEastAsia"/>
          <w:kern w:val="24"/>
        </w:rPr>
        <w:t xml:space="preserve"> de couleur bleu pour G</w:t>
      </w:r>
      <w:r w:rsidR="00CC4E5D" w:rsidRPr="004317BE">
        <w:rPr>
          <w:rFonts w:eastAsiaTheme="minorEastAsia"/>
          <w:kern w:val="24"/>
        </w:rPr>
        <w:t>.</w:t>
      </w:r>
    </w:p>
    <w:p w:rsidR="00CC4E5D" w:rsidRPr="004317BE" w:rsidRDefault="00393194" w:rsidP="004317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317BE">
        <w:rPr>
          <w:rFonts w:ascii="Times New Roman" w:eastAsiaTheme="minorEastAsia" w:hAnsi="Times New Roman" w:cs="Times New Roman"/>
          <w:kern w:val="24"/>
          <w:sz w:val="24"/>
          <w:szCs w:val="24"/>
          <w:lang w:val="fr-FR"/>
        </w:rPr>
        <w:t xml:space="preserve">Après incubation pour polymérisation, on </w:t>
      </w:r>
      <w:r w:rsidR="00CC4E5D" w:rsidRPr="004317BE">
        <w:rPr>
          <w:rFonts w:ascii="Times New Roman" w:eastAsiaTheme="minorEastAsia" w:hAnsi="Times New Roman" w:cs="Times New Roman"/>
          <w:kern w:val="24"/>
          <w:sz w:val="24"/>
          <w:szCs w:val="24"/>
          <w:lang w:val="fr-FR"/>
        </w:rPr>
        <w:t>mélange</w:t>
      </w:r>
      <w:r w:rsidRPr="004317BE">
        <w:rPr>
          <w:rFonts w:ascii="Times New Roman" w:eastAsiaTheme="minorEastAsia" w:hAnsi="Times New Roman" w:cs="Times New Roman"/>
          <w:kern w:val="24"/>
          <w:sz w:val="24"/>
          <w:szCs w:val="24"/>
          <w:lang w:val="fr-FR"/>
        </w:rPr>
        <w:t xml:space="preserve"> le contenu des </w:t>
      </w:r>
      <w:r w:rsidR="00CC4E5D" w:rsidRPr="004317BE">
        <w:rPr>
          <w:rFonts w:ascii="Times New Roman" w:eastAsiaTheme="minorEastAsia" w:hAnsi="Times New Roman" w:cs="Times New Roman"/>
          <w:kern w:val="24"/>
          <w:sz w:val="24"/>
          <w:szCs w:val="24"/>
          <w:lang w:val="fr-FR"/>
        </w:rPr>
        <w:t>quatre</w:t>
      </w:r>
      <w:r w:rsidRPr="004317BE">
        <w:rPr>
          <w:rFonts w:ascii="Times New Roman" w:eastAsiaTheme="minorEastAsia" w:hAnsi="Times New Roman" w:cs="Times New Roman"/>
          <w:kern w:val="24"/>
          <w:sz w:val="24"/>
          <w:szCs w:val="24"/>
          <w:lang w:val="fr-FR"/>
        </w:rPr>
        <w:t xml:space="preserve"> tubes</w:t>
      </w:r>
    </w:p>
    <w:p w:rsidR="006D6FBF" w:rsidRPr="004317BE" w:rsidRDefault="00393194" w:rsidP="004317BE">
      <w:pPr>
        <w:spacing w:line="360" w:lineRule="auto"/>
        <w:jc w:val="both"/>
        <w:rPr>
          <w:rFonts w:ascii="Times New Roman" w:eastAsiaTheme="minorEastAsia" w:hAnsi="Times New Roman" w:cs="Times New Roman"/>
          <w:kern w:val="24"/>
          <w:sz w:val="24"/>
          <w:szCs w:val="24"/>
          <w:lang w:val="fr-FR"/>
        </w:rPr>
      </w:pPr>
      <w:r w:rsidRPr="004317BE">
        <w:rPr>
          <w:rFonts w:ascii="Times New Roman" w:eastAsiaTheme="minorEastAsia" w:hAnsi="Times New Roman" w:cs="Times New Roman"/>
          <w:kern w:val="24"/>
          <w:sz w:val="24"/>
          <w:szCs w:val="24"/>
          <w:lang w:val="fr-FR"/>
        </w:rPr>
        <w:t>Electrophorèse sur gel le polyacrylamide dans un seul puits, ce gel est relié à un</w:t>
      </w:r>
      <w:r w:rsidR="00CC4E5D" w:rsidRPr="004317BE">
        <w:rPr>
          <w:rFonts w:ascii="Times New Roman" w:eastAsiaTheme="minorEastAsia" w:hAnsi="Times New Roman" w:cs="Times New Roman"/>
          <w:kern w:val="24"/>
          <w:sz w:val="24"/>
          <w:szCs w:val="24"/>
          <w:lang w:val="fr-FR"/>
        </w:rPr>
        <w:t xml:space="preserve"> </w:t>
      </w:r>
      <w:r w:rsidRPr="004317BE">
        <w:rPr>
          <w:rFonts w:ascii="Times New Roman" w:eastAsiaTheme="minorEastAsia" w:hAnsi="Times New Roman" w:cs="Times New Roman"/>
          <w:kern w:val="24"/>
          <w:sz w:val="24"/>
          <w:szCs w:val="24"/>
          <w:lang w:val="fr-FR"/>
        </w:rPr>
        <w:t xml:space="preserve">ordinateur. </w:t>
      </w:r>
    </w:p>
    <w:p w:rsidR="00CC4E5D" w:rsidRPr="004317BE" w:rsidRDefault="006B2B84" w:rsidP="004317BE">
      <w:pPr>
        <w:spacing w:line="360" w:lineRule="auto"/>
        <w:ind w:firstLine="360"/>
        <w:jc w:val="both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fr-FR"/>
        </w:rPr>
      </w:pPr>
      <w: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val="fr-FR"/>
        </w:rPr>
        <w:t xml:space="preserve">2. </w:t>
      </w:r>
      <w:r w:rsidR="006D6FBF" w:rsidRPr="004317BE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val="fr-FR"/>
        </w:rPr>
        <w:t xml:space="preserve">Méthode </w:t>
      </w:r>
      <w:r w:rsidR="004317BE" w:rsidRPr="004317BE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val="fr-FR"/>
        </w:rPr>
        <w:t>chimique :</w:t>
      </w:r>
      <w:r w:rsidR="004317BE" w:rsidRPr="004317B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fr-FR"/>
        </w:rPr>
        <w:t xml:space="preserve"> (</w:t>
      </w:r>
      <w:r w:rsidR="00CC4E5D" w:rsidRPr="004317B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val="fr-FR"/>
        </w:rPr>
        <w:t xml:space="preserve">Méthode de </w:t>
      </w:r>
      <w:proofErr w:type="spellStart"/>
      <w:r w:rsidR="00CC4E5D" w:rsidRPr="004317B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val="fr-FR"/>
        </w:rPr>
        <w:t>Maxam</w:t>
      </w:r>
      <w:proofErr w:type="spellEnd"/>
      <w:r w:rsidR="00CC4E5D" w:rsidRPr="004317B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val="fr-FR"/>
        </w:rPr>
        <w:t xml:space="preserve"> et Gilbert</w:t>
      </w:r>
      <w:r w:rsidR="004317BE" w:rsidRPr="004317B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fr-FR"/>
        </w:rPr>
        <w:t>)</w:t>
      </w:r>
      <w:r w:rsidR="00CC4E5D" w:rsidRPr="004317B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fr-FR"/>
        </w:rPr>
        <w:t xml:space="preserve"> en 1977, Contrairement à la méthode précédente, celle-ci n'utilise aucune base modifiée mais une réaction chimique permettant de couper le brin suite à un type de base. </w:t>
      </w:r>
      <w:proofErr w:type="spellStart"/>
      <w:r w:rsidR="00CC4E5D" w:rsidRPr="004317B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Étant</w:t>
      </w:r>
      <w:proofErr w:type="spellEnd"/>
      <w:r w:rsidR="00CC4E5D" w:rsidRPr="004317B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CC4E5D" w:rsidRPr="004317B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donnée</w:t>
      </w:r>
      <w:proofErr w:type="spellEnd"/>
      <w:r w:rsidR="00CC4E5D" w:rsidRPr="004317B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le </w:t>
      </w:r>
      <w:proofErr w:type="spellStart"/>
      <w:r w:rsidR="00CC4E5D" w:rsidRPr="004317B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nombre</w:t>
      </w:r>
      <w:proofErr w:type="spellEnd"/>
      <w:r w:rsidR="00CC4E5D" w:rsidRPr="004317B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important de copies présentes dans le tube, on obtient statistiquement</w:t>
      </w:r>
      <w:r w:rsidR="008B4700" w:rsidRPr="004317B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c</w:t>
      </w:r>
      <w:r w:rsidR="00CC4E5D" w:rsidRPr="004317B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haque possibilité. La méthode de l'électrophorèse suit ensuite celle de Sanger.</w:t>
      </w:r>
    </w:p>
    <w:p w:rsidR="00CC4E5D" w:rsidRPr="004317BE" w:rsidRDefault="00CC4E5D" w:rsidP="004317BE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17B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Le principe de cette </w:t>
      </w:r>
      <w:proofErr w:type="spellStart"/>
      <w:r w:rsidRPr="004317B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méthode</w:t>
      </w:r>
      <w:proofErr w:type="spellEnd"/>
      <w:r w:rsidRPr="004317B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4317B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est</w:t>
      </w:r>
      <w:proofErr w:type="spellEnd"/>
      <w:r w:rsidRPr="004317B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le </w:t>
      </w:r>
      <w:proofErr w:type="spellStart"/>
      <w:r w:rsidR="008B4700" w:rsidRPr="004317B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suivant</w:t>
      </w:r>
      <w:proofErr w:type="spellEnd"/>
      <w:r w:rsidR="008B4700" w:rsidRPr="004317B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:</w:t>
      </w:r>
    </w:p>
    <w:p w:rsidR="00CC4E5D" w:rsidRPr="004317BE" w:rsidRDefault="00CC4E5D" w:rsidP="004317BE">
      <w:pPr>
        <w:pStyle w:val="Paragraphedeliste"/>
        <w:numPr>
          <w:ilvl w:val="0"/>
          <w:numId w:val="16"/>
        </w:numPr>
        <w:spacing w:line="360" w:lineRule="auto"/>
        <w:jc w:val="both"/>
      </w:pPr>
      <w:r w:rsidRPr="004317BE">
        <w:rPr>
          <w:rFonts w:eastAsiaTheme="minorEastAsia"/>
          <w:color w:val="000000" w:themeColor="text1"/>
          <w:kern w:val="24"/>
        </w:rPr>
        <w:t>Dénaturation de l’ADN</w:t>
      </w:r>
    </w:p>
    <w:p w:rsidR="00CC4E5D" w:rsidRPr="004317BE" w:rsidRDefault="00CC4E5D" w:rsidP="004317BE">
      <w:pPr>
        <w:pStyle w:val="Paragraphedeliste"/>
        <w:numPr>
          <w:ilvl w:val="0"/>
          <w:numId w:val="16"/>
        </w:numPr>
        <w:spacing w:line="360" w:lineRule="auto"/>
        <w:jc w:val="both"/>
      </w:pPr>
      <w:r w:rsidRPr="004317BE">
        <w:rPr>
          <w:rFonts w:eastAsiaTheme="minorEastAsia"/>
          <w:color w:val="000000" w:themeColor="text1"/>
          <w:kern w:val="24"/>
        </w:rPr>
        <w:t xml:space="preserve">Marquage radioactif sur l’extrémité 5’ ou 3’ </w:t>
      </w:r>
    </w:p>
    <w:p w:rsidR="00393194" w:rsidRDefault="00393194" w:rsidP="004317BE">
      <w:pPr>
        <w:pStyle w:val="Paragraphedeliste"/>
        <w:numPr>
          <w:ilvl w:val="0"/>
          <w:numId w:val="16"/>
        </w:numPr>
        <w:spacing w:line="360" w:lineRule="auto"/>
        <w:jc w:val="both"/>
        <w:rPr>
          <w:rFonts w:eastAsiaTheme="minorEastAsia"/>
          <w:kern w:val="24"/>
        </w:rPr>
      </w:pPr>
      <w:r w:rsidRPr="004317BE">
        <w:rPr>
          <w:rFonts w:eastAsiaTheme="minorEastAsia"/>
          <w:kern w:val="24"/>
        </w:rPr>
        <w:t>Traitement chimique</w:t>
      </w:r>
      <w:r w:rsidR="008B4700" w:rsidRPr="004317BE">
        <w:rPr>
          <w:rFonts w:eastAsiaTheme="minorEastAsia"/>
          <w:kern w:val="24"/>
        </w:rPr>
        <w:t xml:space="preserve"> comme suit :</w:t>
      </w:r>
    </w:p>
    <w:p w:rsidR="006B2B84" w:rsidRPr="004317BE" w:rsidRDefault="006B2B84" w:rsidP="006B2B84">
      <w:pPr>
        <w:pStyle w:val="Paragraphedeliste"/>
        <w:spacing w:line="360" w:lineRule="auto"/>
        <w:jc w:val="both"/>
        <w:rPr>
          <w:rFonts w:eastAsiaTheme="minorEastAsia"/>
          <w:kern w:val="24"/>
        </w:rPr>
      </w:pPr>
    </w:p>
    <w:p w:rsidR="008B4700" w:rsidRPr="004317BE" w:rsidRDefault="008B4700" w:rsidP="004317BE">
      <w:pPr>
        <w:pStyle w:val="Paragraphedeliste"/>
        <w:spacing w:line="360" w:lineRule="auto"/>
        <w:jc w:val="both"/>
      </w:pPr>
    </w:p>
    <w:p w:rsidR="00CC4E5D" w:rsidRPr="004317BE" w:rsidRDefault="00CC4E5D" w:rsidP="004317B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317B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u w:val="single"/>
          <w:lang w:val="fr-FR"/>
        </w:rPr>
        <w:lastRenderedPageBreak/>
        <w:t>Pour</w:t>
      </w:r>
      <w:r w:rsidR="00393194" w:rsidRPr="004317B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u w:val="single"/>
          <w:lang w:val="fr-FR"/>
        </w:rPr>
        <w:t xml:space="preserve"> les </w:t>
      </w:r>
      <w:r w:rsidR="008B4700" w:rsidRPr="004317B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u w:val="single"/>
          <w:lang w:val="fr-FR"/>
        </w:rPr>
        <w:t>purines</w:t>
      </w:r>
      <w:r w:rsidR="008B4700" w:rsidRPr="004317B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fr-FR"/>
        </w:rPr>
        <w:t xml:space="preserve"> :</w:t>
      </w:r>
    </w:p>
    <w:p w:rsidR="00CC4E5D" w:rsidRPr="004317BE" w:rsidRDefault="00393194" w:rsidP="004317BE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317B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fr-FR"/>
        </w:rPr>
        <w:t xml:space="preserve">Adénine et Guanine : </w:t>
      </w:r>
      <w:r w:rsidRPr="004317BE">
        <w:rPr>
          <w:rFonts w:ascii="Times New Roman" w:eastAsiaTheme="minorEastAsia" w:hAnsi="Times New Roman" w:cs="Times New Roman"/>
          <w:kern w:val="24"/>
          <w:sz w:val="24"/>
          <w:szCs w:val="24"/>
          <w:lang w:val="fr-FR"/>
        </w:rPr>
        <w:t xml:space="preserve">traitement par DMS (diméthyle sulfate) qui va </w:t>
      </w:r>
      <w:r w:rsidRPr="004317BE">
        <w:rPr>
          <w:rFonts w:ascii="Times New Roman" w:eastAsiaTheme="minorEastAsia" w:hAnsi="Times New Roman" w:cs="Times New Roman"/>
          <w:kern w:val="24"/>
          <w:sz w:val="24"/>
          <w:szCs w:val="24"/>
          <w:lang w:val="fr-FR"/>
        </w:rPr>
        <w:tab/>
        <w:t>ajouter un groupement CH</w:t>
      </w:r>
      <w:r w:rsidR="00CC4E5D" w:rsidRPr="004317BE">
        <w:rPr>
          <w:rFonts w:ascii="Times New Roman" w:eastAsiaTheme="minorEastAsia" w:hAnsi="Times New Roman" w:cs="Times New Roman"/>
          <w:kern w:val="24"/>
          <w:sz w:val="24"/>
          <w:szCs w:val="24"/>
          <w:vertAlign w:val="subscript"/>
          <w:lang w:val="fr-FR"/>
        </w:rPr>
        <w:t xml:space="preserve">3 </w:t>
      </w:r>
      <w:r w:rsidR="00CC4E5D" w:rsidRPr="004317BE">
        <w:rPr>
          <w:rFonts w:ascii="Times New Roman" w:eastAsiaTheme="minorEastAsia" w:hAnsi="Times New Roman" w:cs="Times New Roman"/>
          <w:kern w:val="24"/>
          <w:sz w:val="24"/>
          <w:szCs w:val="24"/>
          <w:lang w:val="fr-FR"/>
        </w:rPr>
        <w:t>plus</w:t>
      </w:r>
      <w:r w:rsidRPr="004317BE">
        <w:rPr>
          <w:rFonts w:ascii="Times New Roman" w:eastAsiaTheme="minorEastAsia" w:hAnsi="Times New Roman" w:cs="Times New Roman"/>
          <w:kern w:val="24"/>
          <w:sz w:val="24"/>
          <w:szCs w:val="24"/>
          <w:lang w:val="fr-FR"/>
        </w:rPr>
        <w:t xml:space="preserve"> acide formique </w:t>
      </w:r>
    </w:p>
    <w:p w:rsidR="00393194" w:rsidRPr="004317BE" w:rsidRDefault="00CC4E5D" w:rsidP="004317B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317B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fr-FR"/>
        </w:rPr>
        <w:t>Guanine :</w:t>
      </w:r>
      <w:r w:rsidR="00393194" w:rsidRPr="004317BE">
        <w:rPr>
          <w:rFonts w:ascii="Times New Roman" w:eastAsiaTheme="minorEastAsia" w:hAnsi="Times New Roman" w:cs="Times New Roman"/>
          <w:kern w:val="24"/>
          <w:sz w:val="24"/>
          <w:szCs w:val="24"/>
          <w:lang w:val="fr-FR"/>
        </w:rPr>
        <w:t xml:space="preserve"> Traitement avec le DMS plus </w:t>
      </w:r>
      <w:proofErr w:type="spellStart"/>
      <w:r w:rsidR="00393194" w:rsidRPr="004317BE">
        <w:rPr>
          <w:rFonts w:ascii="Times New Roman" w:eastAsiaTheme="minorEastAsia" w:hAnsi="Times New Roman" w:cs="Times New Roman"/>
          <w:kern w:val="24"/>
          <w:sz w:val="24"/>
          <w:szCs w:val="24"/>
          <w:lang w:val="fr-FR"/>
        </w:rPr>
        <w:t>NaOH</w:t>
      </w:r>
      <w:proofErr w:type="spellEnd"/>
      <w:r w:rsidR="00393194" w:rsidRPr="004317BE">
        <w:rPr>
          <w:rFonts w:ascii="Times New Roman" w:eastAsiaTheme="minorEastAsia" w:hAnsi="Times New Roman" w:cs="Times New Roman"/>
          <w:kern w:val="24"/>
          <w:sz w:val="24"/>
          <w:szCs w:val="24"/>
          <w:lang w:val="fr-FR"/>
        </w:rPr>
        <w:t xml:space="preserve"> </w:t>
      </w:r>
    </w:p>
    <w:p w:rsidR="00393194" w:rsidRPr="004317BE" w:rsidRDefault="008B4700" w:rsidP="004317BE">
      <w:pPr>
        <w:spacing w:line="360" w:lineRule="auto"/>
        <w:ind w:left="708" w:firstLine="1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317B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u w:val="single"/>
          <w:lang w:val="fr-FR"/>
        </w:rPr>
        <w:t>Pour</w:t>
      </w:r>
      <w:r w:rsidR="00393194" w:rsidRPr="004317B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u w:val="single"/>
          <w:lang w:val="fr-FR"/>
        </w:rPr>
        <w:t xml:space="preserve"> </w:t>
      </w:r>
      <w:r w:rsidRPr="004317B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u w:val="single"/>
          <w:lang w:val="fr-FR"/>
        </w:rPr>
        <w:t>les pyrimidines</w:t>
      </w:r>
      <w:r w:rsidRPr="004317B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fr-FR"/>
        </w:rPr>
        <w:t xml:space="preserve"> :</w:t>
      </w:r>
    </w:p>
    <w:p w:rsidR="00393194" w:rsidRPr="004317BE" w:rsidRDefault="008B4700" w:rsidP="004317BE">
      <w:pPr>
        <w:pStyle w:val="Paragraphedeliste"/>
        <w:spacing w:line="360" w:lineRule="auto"/>
        <w:jc w:val="both"/>
      </w:pPr>
      <w:r w:rsidRPr="004317BE">
        <w:rPr>
          <w:rFonts w:eastAsiaTheme="minorEastAsia"/>
          <w:b/>
          <w:bCs/>
          <w:kern w:val="24"/>
        </w:rPr>
        <w:t>Cytosine :</w:t>
      </w:r>
      <w:r w:rsidR="00393194" w:rsidRPr="004317BE">
        <w:rPr>
          <w:rFonts w:eastAsiaTheme="minorEastAsia"/>
          <w:b/>
          <w:bCs/>
          <w:kern w:val="24"/>
        </w:rPr>
        <w:t xml:space="preserve"> traitement par hydrazine plus </w:t>
      </w:r>
      <w:proofErr w:type="spellStart"/>
      <w:r w:rsidR="00393194" w:rsidRPr="004317BE">
        <w:rPr>
          <w:rFonts w:eastAsiaTheme="minorEastAsia"/>
          <w:b/>
          <w:bCs/>
          <w:kern w:val="24"/>
        </w:rPr>
        <w:t>NaCL</w:t>
      </w:r>
      <w:proofErr w:type="spellEnd"/>
    </w:p>
    <w:p w:rsidR="00393194" w:rsidRPr="004317BE" w:rsidRDefault="008B4700" w:rsidP="004317BE">
      <w:pPr>
        <w:pStyle w:val="Paragraphedeliste"/>
        <w:spacing w:line="360" w:lineRule="auto"/>
        <w:jc w:val="both"/>
      </w:pPr>
      <w:r w:rsidRPr="004317BE">
        <w:rPr>
          <w:rFonts w:eastAsiaTheme="minorEastAsia"/>
          <w:b/>
          <w:bCs/>
          <w:kern w:val="24"/>
        </w:rPr>
        <w:t>T</w:t>
      </w:r>
      <w:r w:rsidR="00393194" w:rsidRPr="004317BE">
        <w:rPr>
          <w:rFonts w:eastAsiaTheme="minorEastAsia"/>
          <w:b/>
          <w:bCs/>
          <w:kern w:val="24"/>
        </w:rPr>
        <w:t>hymine et cytosine : traitement par hydrazine</w:t>
      </w:r>
    </w:p>
    <w:p w:rsidR="00393194" w:rsidRPr="004317BE" w:rsidRDefault="00393194" w:rsidP="004317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317BE">
        <w:rPr>
          <w:rFonts w:ascii="Times New Roman" w:eastAsiaTheme="minorEastAsia" w:hAnsi="Times New Roman" w:cs="Times New Roman"/>
          <w:kern w:val="24"/>
          <w:sz w:val="24"/>
          <w:szCs w:val="24"/>
          <w:lang w:val="fr-FR"/>
        </w:rPr>
        <w:t xml:space="preserve">4. Traitement par la </w:t>
      </w:r>
      <w:r w:rsidR="00DF4727" w:rsidRPr="004317BE">
        <w:rPr>
          <w:rFonts w:ascii="Times New Roman" w:eastAsiaTheme="minorEastAsia" w:hAnsi="Times New Roman" w:cs="Times New Roman"/>
          <w:kern w:val="24"/>
          <w:sz w:val="24"/>
          <w:szCs w:val="24"/>
          <w:lang w:val="fr-FR"/>
        </w:rPr>
        <w:t>pipéridine :</w:t>
      </w:r>
      <w:r w:rsidRPr="004317BE">
        <w:rPr>
          <w:rFonts w:ascii="Times New Roman" w:eastAsiaTheme="minorEastAsia" w:hAnsi="Times New Roman" w:cs="Times New Roman"/>
          <w:kern w:val="24"/>
          <w:sz w:val="24"/>
          <w:szCs w:val="24"/>
          <w:lang w:val="fr-FR"/>
        </w:rPr>
        <w:t xml:space="preserve"> pour éliminer les bases modifiées en créant </w:t>
      </w:r>
      <w:r w:rsidR="00DF4727" w:rsidRPr="004317BE">
        <w:rPr>
          <w:rFonts w:ascii="Times New Roman" w:eastAsiaTheme="minorEastAsia" w:hAnsi="Times New Roman" w:cs="Times New Roman"/>
          <w:kern w:val="24"/>
          <w:sz w:val="24"/>
          <w:szCs w:val="24"/>
          <w:lang w:val="fr-FR"/>
        </w:rPr>
        <w:t>des fragments</w:t>
      </w:r>
      <w:r w:rsidRPr="004317BE">
        <w:rPr>
          <w:rFonts w:ascii="Times New Roman" w:eastAsiaTheme="minorEastAsia" w:hAnsi="Times New Roman" w:cs="Times New Roman"/>
          <w:kern w:val="24"/>
          <w:sz w:val="24"/>
          <w:szCs w:val="24"/>
          <w:lang w:val="fr-FR"/>
        </w:rPr>
        <w:t xml:space="preserve"> de différentes tailles</w:t>
      </w:r>
      <w:r w:rsidR="00DF4727" w:rsidRPr="004317BE">
        <w:rPr>
          <w:rFonts w:ascii="Times New Roman" w:eastAsiaTheme="minorEastAsia" w:hAnsi="Times New Roman" w:cs="Times New Roman"/>
          <w:kern w:val="24"/>
          <w:sz w:val="24"/>
          <w:szCs w:val="24"/>
          <w:lang w:val="fr-FR"/>
        </w:rPr>
        <w:t>.</w:t>
      </w:r>
    </w:p>
    <w:p w:rsidR="00393194" w:rsidRPr="004317BE" w:rsidRDefault="00393194" w:rsidP="004317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317BE">
        <w:rPr>
          <w:rFonts w:ascii="Times New Roman" w:eastAsiaTheme="minorEastAsia" w:hAnsi="Times New Roman" w:cs="Times New Roman"/>
          <w:kern w:val="24"/>
          <w:sz w:val="24"/>
          <w:szCs w:val="24"/>
          <w:lang w:val="fr-FR"/>
        </w:rPr>
        <w:t>5. Electrophorèse pour les quatre tubes sur gel de polyacrylamide</w:t>
      </w:r>
      <w:r w:rsidR="00DF4727" w:rsidRPr="004317BE">
        <w:rPr>
          <w:rFonts w:ascii="Times New Roman" w:eastAsiaTheme="minorEastAsia" w:hAnsi="Times New Roman" w:cs="Times New Roman"/>
          <w:kern w:val="24"/>
          <w:sz w:val="24"/>
          <w:szCs w:val="24"/>
          <w:lang w:val="fr-FR"/>
        </w:rPr>
        <w:t>.</w:t>
      </w:r>
    </w:p>
    <w:p w:rsidR="00393194" w:rsidRPr="004317BE" w:rsidRDefault="00393194" w:rsidP="004317BE">
      <w:pPr>
        <w:pStyle w:val="Paragraphedeliste"/>
        <w:spacing w:line="360" w:lineRule="auto"/>
        <w:jc w:val="both"/>
      </w:pPr>
    </w:p>
    <w:p w:rsidR="00393194" w:rsidRPr="004317BE" w:rsidRDefault="00393194" w:rsidP="004317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317BE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0DA3355" wp14:editId="75C893E3">
            <wp:extent cx="5760720" cy="5921375"/>
            <wp:effectExtent l="0" t="0" r="0" b="3175"/>
            <wp:docPr id="4" name="Picture 5" descr="maxam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 descr="maxam"/>
                    <pic:cNvPicPr>
                      <a:picLocks noGrp="1" noChangeAspect="1" noChangeArrowheads="1"/>
                    </pic:cNvPicPr>
                  </pic:nvPicPr>
                  <pic:blipFill>
                    <a:blip r:embed="rId7">
                      <a:lum bright="-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2" t="10709" r="3729" b="952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21375"/>
                    </a:xfrm>
                    <a:prstGeom prst="rect">
                      <a:avLst/>
                    </a:prstGeom>
                    <a:noFill/>
                    <a:ln/>
                    <a:extLs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393194" w:rsidRPr="004317BE" w:rsidRDefault="00393194" w:rsidP="004317BE">
      <w:pPr>
        <w:pStyle w:val="NormalWeb"/>
        <w:spacing w:before="154" w:beforeAutospacing="0" w:after="0" w:afterAutospacing="0" w:line="360" w:lineRule="auto"/>
        <w:jc w:val="both"/>
      </w:pPr>
      <w:r w:rsidRPr="004317BE">
        <w:rPr>
          <w:rFonts w:eastAsiaTheme="minorEastAsia"/>
          <w:kern w:val="24"/>
        </w:rPr>
        <w:t xml:space="preserve">• le principal avantage de cette technique est qu’elle n’est pas dépendante des problèmes de synthèse d’ADN par une polymérase </w:t>
      </w:r>
    </w:p>
    <w:p w:rsidR="00393194" w:rsidRPr="004317BE" w:rsidRDefault="00393194" w:rsidP="004317BE">
      <w:pPr>
        <w:pStyle w:val="NormalWeb"/>
        <w:spacing w:before="154" w:beforeAutospacing="0" w:after="0" w:afterAutospacing="0" w:line="360" w:lineRule="auto"/>
        <w:jc w:val="both"/>
      </w:pPr>
      <w:r w:rsidRPr="004317BE">
        <w:rPr>
          <w:rFonts w:eastAsiaTheme="minorEastAsia"/>
          <w:kern w:val="24"/>
        </w:rPr>
        <w:t>• le principal inconvénient est la toxicité des composés chimiques utilisés.</w:t>
      </w:r>
    </w:p>
    <w:p w:rsidR="00393194" w:rsidRPr="004317BE" w:rsidRDefault="00393194" w:rsidP="006B2B84">
      <w:pPr>
        <w:pStyle w:val="NormalWeb"/>
        <w:numPr>
          <w:ilvl w:val="0"/>
          <w:numId w:val="22"/>
        </w:numPr>
        <w:spacing w:before="120" w:beforeAutospacing="0" w:after="0" w:afterAutospacing="0" w:line="360" w:lineRule="auto"/>
        <w:jc w:val="both"/>
      </w:pPr>
      <w:r w:rsidRPr="004317BE">
        <w:rPr>
          <w:rFonts w:eastAsiaTheme="minorEastAsia"/>
          <w:b/>
          <w:bCs/>
          <w:spacing w:val="6"/>
          <w:kern w:val="24"/>
        </w:rPr>
        <w:t xml:space="preserve">Séquenceurs automatiques </w:t>
      </w:r>
    </w:p>
    <w:p w:rsidR="00393194" w:rsidRPr="00EF5603" w:rsidRDefault="00393194" w:rsidP="004317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317BE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Aujourd'hui, la plupart des séquençages sont réalisés par des séquenceurs industriels entièrement automatisés. </w:t>
      </w:r>
      <w:r w:rsidRPr="00EF5603">
        <w:rPr>
          <w:rFonts w:ascii="Times New Roman" w:eastAsiaTheme="minorEastAsia" w:hAnsi="Times New Roman" w:cs="Times New Roman"/>
          <w:kern w:val="24"/>
          <w:sz w:val="24"/>
          <w:szCs w:val="24"/>
          <w:lang w:val="fr-FR"/>
        </w:rPr>
        <w:t xml:space="preserve">Ceux-ci utilisent une Version améliorée de la méthode de </w:t>
      </w:r>
      <w:r w:rsidR="00EF5603" w:rsidRPr="00EF5603">
        <w:rPr>
          <w:rFonts w:ascii="Times New Roman" w:eastAsiaTheme="minorEastAsia" w:hAnsi="Times New Roman" w:cs="Times New Roman"/>
          <w:kern w:val="24"/>
          <w:sz w:val="24"/>
          <w:szCs w:val="24"/>
          <w:lang w:val="fr-FR"/>
        </w:rPr>
        <w:t>Sanger:</w:t>
      </w:r>
    </w:p>
    <w:p w:rsidR="00393194" w:rsidRPr="004317BE" w:rsidRDefault="00393194" w:rsidP="004317BE">
      <w:pPr>
        <w:pStyle w:val="Paragraphedeliste"/>
        <w:numPr>
          <w:ilvl w:val="0"/>
          <w:numId w:val="9"/>
        </w:numPr>
        <w:spacing w:line="360" w:lineRule="auto"/>
        <w:jc w:val="both"/>
      </w:pPr>
      <w:r w:rsidRPr="004317BE">
        <w:rPr>
          <w:rFonts w:eastAsiaTheme="minorEastAsia"/>
          <w:kern w:val="24"/>
        </w:rPr>
        <w:t xml:space="preserve"> Marquage radioactif </w:t>
      </w:r>
      <w:r w:rsidRPr="004317BE">
        <w:rPr>
          <w:rFonts w:eastAsiaTheme="minorEastAsia"/>
        </w:rPr>
        <w:sym w:font="Wingdings" w:char="F0E0"/>
      </w:r>
      <w:r w:rsidRPr="004317BE">
        <w:rPr>
          <w:rFonts w:eastAsiaTheme="minorEastAsia"/>
          <w:kern w:val="24"/>
        </w:rPr>
        <w:t xml:space="preserve"> </w:t>
      </w:r>
      <w:r w:rsidRPr="004317BE">
        <w:rPr>
          <w:rFonts w:eastAsiaTheme="minorEastAsia"/>
          <w:b/>
          <w:bCs/>
          <w:kern w:val="24"/>
        </w:rPr>
        <w:t>marquage fluorescent des ddNTP</w:t>
      </w:r>
      <w:bookmarkStart w:id="2" w:name="_GoBack"/>
      <w:bookmarkEnd w:id="2"/>
    </w:p>
    <w:p w:rsidR="00393194" w:rsidRPr="004317BE" w:rsidRDefault="00393194" w:rsidP="004317BE">
      <w:pPr>
        <w:pStyle w:val="Paragraphedeliste"/>
        <w:numPr>
          <w:ilvl w:val="0"/>
          <w:numId w:val="9"/>
        </w:numPr>
        <w:spacing w:line="360" w:lineRule="auto"/>
        <w:jc w:val="both"/>
      </w:pPr>
      <w:r w:rsidRPr="004317BE">
        <w:rPr>
          <w:rFonts w:eastAsiaTheme="minorEastAsia"/>
          <w:kern w:val="24"/>
        </w:rPr>
        <w:t xml:space="preserve"> Film </w:t>
      </w:r>
      <w:proofErr w:type="spellStart"/>
      <w:r w:rsidRPr="004317BE">
        <w:rPr>
          <w:rFonts w:eastAsiaTheme="minorEastAsia"/>
          <w:kern w:val="24"/>
        </w:rPr>
        <w:t>autoradiographique</w:t>
      </w:r>
      <w:proofErr w:type="spellEnd"/>
      <w:r w:rsidRPr="004317BE">
        <w:rPr>
          <w:rFonts w:eastAsiaTheme="minorEastAsia"/>
          <w:kern w:val="24"/>
        </w:rPr>
        <w:t xml:space="preserve"> </w:t>
      </w:r>
      <w:r w:rsidRPr="004317BE">
        <w:rPr>
          <w:rFonts w:eastAsiaTheme="minorEastAsia"/>
        </w:rPr>
        <w:sym w:font="Wingdings" w:char="F0E0"/>
      </w:r>
      <w:r w:rsidRPr="004317BE">
        <w:rPr>
          <w:rFonts w:eastAsiaTheme="minorEastAsia"/>
          <w:kern w:val="24"/>
        </w:rPr>
        <w:t xml:space="preserve"> </w:t>
      </w:r>
      <w:r w:rsidRPr="004317BE">
        <w:rPr>
          <w:rFonts w:eastAsiaTheme="minorEastAsia"/>
          <w:b/>
          <w:bCs/>
          <w:kern w:val="24"/>
        </w:rPr>
        <w:t>détection par faisceau laser en cours d’électrophorèse</w:t>
      </w:r>
    </w:p>
    <w:p w:rsidR="00393194" w:rsidRPr="004317BE" w:rsidRDefault="00393194" w:rsidP="004317BE">
      <w:pPr>
        <w:pStyle w:val="Paragraphedeliste"/>
        <w:numPr>
          <w:ilvl w:val="0"/>
          <w:numId w:val="11"/>
        </w:numPr>
        <w:spacing w:line="360" w:lineRule="auto"/>
        <w:jc w:val="both"/>
      </w:pPr>
      <w:r w:rsidRPr="004317BE">
        <w:rPr>
          <w:rFonts w:eastAsiaTheme="minorEastAsia"/>
          <w:kern w:val="24"/>
        </w:rPr>
        <w:t xml:space="preserve">ADN polymérase (fragment de </w:t>
      </w:r>
      <w:proofErr w:type="spellStart"/>
      <w:r w:rsidRPr="004317BE">
        <w:rPr>
          <w:rFonts w:eastAsiaTheme="minorEastAsia"/>
          <w:kern w:val="24"/>
        </w:rPr>
        <w:t>Klenow</w:t>
      </w:r>
      <w:proofErr w:type="spellEnd"/>
      <w:r w:rsidRPr="004317BE">
        <w:rPr>
          <w:rFonts w:eastAsiaTheme="minorEastAsia"/>
          <w:kern w:val="24"/>
        </w:rPr>
        <w:t>)</w:t>
      </w:r>
      <w:r w:rsidRPr="004317BE">
        <w:rPr>
          <w:rFonts w:eastAsiaTheme="minorEastAsia"/>
        </w:rPr>
        <w:sym w:font="Wingdings" w:char="F0E0"/>
      </w:r>
      <w:r w:rsidRPr="004317BE">
        <w:rPr>
          <w:rFonts w:eastAsiaTheme="minorEastAsia"/>
          <w:kern w:val="24"/>
        </w:rPr>
        <w:t xml:space="preserve"> </w:t>
      </w:r>
      <w:r w:rsidRPr="004317BE">
        <w:rPr>
          <w:rFonts w:eastAsiaTheme="minorEastAsia"/>
          <w:b/>
          <w:bCs/>
          <w:kern w:val="24"/>
        </w:rPr>
        <w:t>Taq polymérase</w:t>
      </w:r>
    </w:p>
    <w:p w:rsidR="00393194" w:rsidRPr="004317BE" w:rsidRDefault="00393194" w:rsidP="004317BE">
      <w:pPr>
        <w:pStyle w:val="Paragraphedeliste"/>
        <w:numPr>
          <w:ilvl w:val="0"/>
          <w:numId w:val="11"/>
        </w:numPr>
        <w:spacing w:line="360" w:lineRule="auto"/>
        <w:jc w:val="both"/>
      </w:pPr>
      <w:r w:rsidRPr="004317BE">
        <w:rPr>
          <w:rFonts w:eastAsiaTheme="minorEastAsia"/>
          <w:kern w:val="24"/>
        </w:rPr>
        <w:lastRenderedPageBreak/>
        <w:t xml:space="preserve"> Quantité de matrice </w:t>
      </w:r>
      <w:r w:rsidRPr="004317BE">
        <w:rPr>
          <w:rFonts w:eastAsiaTheme="minorEastAsia"/>
        </w:rPr>
        <w:sym w:font="Wingdings" w:char="F0E0"/>
      </w:r>
      <w:r w:rsidRPr="004317BE">
        <w:rPr>
          <w:rFonts w:eastAsiaTheme="minorEastAsia"/>
          <w:kern w:val="24"/>
        </w:rPr>
        <w:t xml:space="preserve"> quantité plus faible que pour la méthode de Sanger classique </w:t>
      </w:r>
    </w:p>
    <w:p w:rsidR="00393194" w:rsidRPr="004317BE" w:rsidRDefault="00393194" w:rsidP="004317BE">
      <w:pPr>
        <w:pStyle w:val="Paragraphedeliste"/>
        <w:numPr>
          <w:ilvl w:val="0"/>
          <w:numId w:val="13"/>
        </w:numPr>
        <w:spacing w:line="360" w:lineRule="auto"/>
        <w:jc w:val="both"/>
        <w:rPr>
          <w:b/>
          <w:bCs/>
        </w:rPr>
      </w:pPr>
      <w:r w:rsidRPr="004317BE">
        <w:rPr>
          <w:rFonts w:eastAsiaTheme="minorEastAsia"/>
          <w:b/>
          <w:bCs/>
          <w:kern w:val="24"/>
        </w:rPr>
        <w:t>Procédure de séquençage en cycle</w:t>
      </w:r>
    </w:p>
    <w:p w:rsidR="00393194" w:rsidRPr="004317BE" w:rsidRDefault="003A35ED" w:rsidP="004317BE">
      <w:pPr>
        <w:pStyle w:val="Paragraphedeliste"/>
        <w:numPr>
          <w:ilvl w:val="0"/>
          <w:numId w:val="18"/>
        </w:numPr>
        <w:spacing w:line="360" w:lineRule="auto"/>
        <w:jc w:val="both"/>
      </w:pPr>
      <w:r w:rsidRPr="004317BE">
        <w:rPr>
          <w:rFonts w:eastAsiaTheme="minorEastAsia"/>
          <w:kern w:val="24"/>
        </w:rPr>
        <w:t>Hybridation</w:t>
      </w:r>
      <w:r w:rsidR="00393194" w:rsidRPr="004317BE">
        <w:rPr>
          <w:rFonts w:eastAsiaTheme="minorEastAsia"/>
          <w:kern w:val="24"/>
        </w:rPr>
        <w:t xml:space="preserve"> des amorces sur la matrice sous forme simple brin</w:t>
      </w:r>
    </w:p>
    <w:p w:rsidR="00393194" w:rsidRPr="004317BE" w:rsidRDefault="003A35ED" w:rsidP="004317BE">
      <w:pPr>
        <w:pStyle w:val="Paragraphedeliste"/>
        <w:numPr>
          <w:ilvl w:val="0"/>
          <w:numId w:val="18"/>
        </w:numPr>
        <w:spacing w:line="360" w:lineRule="auto"/>
        <w:jc w:val="both"/>
      </w:pPr>
      <w:r w:rsidRPr="004317BE">
        <w:rPr>
          <w:rFonts w:eastAsiaTheme="minorEastAsia"/>
          <w:kern w:val="24"/>
        </w:rPr>
        <w:t>Extension</w:t>
      </w:r>
      <w:r w:rsidR="00393194" w:rsidRPr="004317BE">
        <w:rPr>
          <w:rFonts w:eastAsiaTheme="minorEastAsia"/>
          <w:kern w:val="24"/>
        </w:rPr>
        <w:t xml:space="preserve"> lors d’une réaction limitante en ddNTP fluorescent et en excès de dNTP (rapport 1/100).</w:t>
      </w:r>
    </w:p>
    <w:p w:rsidR="00393194" w:rsidRPr="004317BE" w:rsidRDefault="003A35ED" w:rsidP="004317BE">
      <w:pPr>
        <w:pStyle w:val="Paragraphedeliste"/>
        <w:numPr>
          <w:ilvl w:val="0"/>
          <w:numId w:val="18"/>
        </w:numPr>
        <w:spacing w:line="360" w:lineRule="auto"/>
        <w:jc w:val="both"/>
      </w:pPr>
      <w:r w:rsidRPr="004317BE">
        <w:rPr>
          <w:rFonts w:eastAsiaTheme="minorEastAsia"/>
          <w:kern w:val="24"/>
        </w:rPr>
        <w:t>Dénaturation</w:t>
      </w:r>
      <w:r w:rsidR="00393194" w:rsidRPr="004317BE">
        <w:rPr>
          <w:rFonts w:eastAsiaTheme="minorEastAsia"/>
          <w:kern w:val="24"/>
        </w:rPr>
        <w:t xml:space="preserve"> et redémarrage d’un nouveau cycle</w:t>
      </w:r>
    </w:p>
    <w:p w:rsidR="00393194" w:rsidRPr="004317BE" w:rsidRDefault="00393194" w:rsidP="004317BE">
      <w:pPr>
        <w:pStyle w:val="Paragraphedeliste"/>
        <w:numPr>
          <w:ilvl w:val="0"/>
          <w:numId w:val="18"/>
        </w:numPr>
        <w:spacing w:line="360" w:lineRule="auto"/>
        <w:jc w:val="both"/>
      </w:pPr>
      <w:r w:rsidRPr="004317BE">
        <w:rPr>
          <w:rFonts w:eastAsiaTheme="minorEastAsia"/>
          <w:kern w:val="24"/>
        </w:rPr>
        <w:t>Détection par émission de fluorescence après stimulation du colorant</w:t>
      </w:r>
    </w:p>
    <w:p w:rsidR="00393194" w:rsidRPr="004317BE" w:rsidRDefault="00393194" w:rsidP="004317BE">
      <w:pPr>
        <w:pStyle w:val="Paragraphedeliste"/>
        <w:numPr>
          <w:ilvl w:val="0"/>
          <w:numId w:val="18"/>
        </w:numPr>
        <w:spacing w:line="360" w:lineRule="auto"/>
        <w:jc w:val="both"/>
      </w:pPr>
      <w:r w:rsidRPr="004317BE">
        <w:rPr>
          <w:rFonts w:eastAsiaTheme="minorEastAsia"/>
          <w:kern w:val="24"/>
        </w:rPr>
        <w:t>Fluorescent ; couleur et position sont enregistrée dans un fichier.</w:t>
      </w:r>
    </w:p>
    <w:p w:rsidR="00393194" w:rsidRPr="004317BE" w:rsidRDefault="00393194" w:rsidP="004317BE">
      <w:pPr>
        <w:pStyle w:val="Paragraphedeliste"/>
        <w:numPr>
          <w:ilvl w:val="0"/>
          <w:numId w:val="18"/>
        </w:numPr>
        <w:spacing w:line="360" w:lineRule="auto"/>
        <w:jc w:val="both"/>
      </w:pPr>
      <w:r w:rsidRPr="004317BE">
        <w:rPr>
          <w:rFonts w:eastAsiaTheme="minorEastAsia"/>
          <w:kern w:val="24"/>
        </w:rPr>
        <w:t>Format de sortie du fichier : chromatogramme ou fichier de séquence</w:t>
      </w:r>
      <w:r w:rsidR="003A35ED" w:rsidRPr="004317BE">
        <w:rPr>
          <w:rFonts w:eastAsiaTheme="minorEastAsia"/>
          <w:kern w:val="24"/>
        </w:rPr>
        <w:t xml:space="preserve"> sous la forme suivante</w:t>
      </w:r>
    </w:p>
    <w:p w:rsidR="00613664" w:rsidRPr="004317BE" w:rsidRDefault="00393194" w:rsidP="004317BE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fr-FR"/>
        </w:rPr>
      </w:pPr>
      <w:r w:rsidRPr="004317B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854AAD1" wp14:editId="16ED13E9">
            <wp:extent cx="5327015" cy="1929089"/>
            <wp:effectExtent l="0" t="0" r="6985" b="0"/>
            <wp:docPr id="2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177" cy="1933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613664" w:rsidRPr="004317BE" w:rsidRDefault="00613664" w:rsidP="004317BE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fr-FR"/>
        </w:rPr>
      </w:pPr>
    </w:p>
    <w:p w:rsidR="00613664" w:rsidRPr="004317BE" w:rsidRDefault="00613664" w:rsidP="004317B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:rsidR="007D0F2C" w:rsidRPr="004317BE" w:rsidRDefault="007D0F2C" w:rsidP="004317B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sectPr w:rsidR="007D0F2C" w:rsidRPr="00431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D3DEF"/>
    <w:multiLevelType w:val="hybridMultilevel"/>
    <w:tmpl w:val="7436A2CC"/>
    <w:lvl w:ilvl="0" w:tplc="E8F80D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DA7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740A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E470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927D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2E88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882C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7E1E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E09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C66267"/>
    <w:multiLevelType w:val="hybridMultilevel"/>
    <w:tmpl w:val="B65EA6A6"/>
    <w:lvl w:ilvl="0" w:tplc="C3285934">
      <w:start w:val="3"/>
      <w:numFmt w:val="decimal"/>
      <w:lvlText w:val="%1"/>
      <w:lvlJc w:val="left"/>
      <w:pPr>
        <w:ind w:left="720" w:hanging="360"/>
      </w:pPr>
      <w:rPr>
        <w:rFonts w:eastAsiaTheme="minorEastAsia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A3AAB"/>
    <w:multiLevelType w:val="hybridMultilevel"/>
    <w:tmpl w:val="C2D4F2DC"/>
    <w:lvl w:ilvl="0" w:tplc="72465B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202A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CCEB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9409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345C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B6CC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C43D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8447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DE22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3974ADB"/>
    <w:multiLevelType w:val="hybridMultilevel"/>
    <w:tmpl w:val="FE327AEE"/>
    <w:lvl w:ilvl="0" w:tplc="5DCCDB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9C4A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D469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26B7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3882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F27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720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7877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B2A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D847A4A"/>
    <w:multiLevelType w:val="hybridMultilevel"/>
    <w:tmpl w:val="72E05720"/>
    <w:lvl w:ilvl="0" w:tplc="D12030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A0AD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70D3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4E93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5252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AC16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CAA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DA63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8CBD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0C25929"/>
    <w:multiLevelType w:val="hybridMultilevel"/>
    <w:tmpl w:val="68782EB6"/>
    <w:lvl w:ilvl="0" w:tplc="BACCAA6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E22183"/>
    <w:multiLevelType w:val="hybridMultilevel"/>
    <w:tmpl w:val="A10E41F4"/>
    <w:lvl w:ilvl="0" w:tplc="88B89A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FEED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20C2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A092F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D4E0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0666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6484B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38076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D603E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2EB41C5"/>
    <w:multiLevelType w:val="hybridMultilevel"/>
    <w:tmpl w:val="EBBAE91C"/>
    <w:lvl w:ilvl="0" w:tplc="5AE8C9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6EFE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5A92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462C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FC39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7C2C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501A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82B7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3067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36E7555"/>
    <w:multiLevelType w:val="hybridMultilevel"/>
    <w:tmpl w:val="7BCE1E9C"/>
    <w:lvl w:ilvl="0" w:tplc="C48A60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5444BA3"/>
    <w:multiLevelType w:val="hybridMultilevel"/>
    <w:tmpl w:val="F5160A64"/>
    <w:lvl w:ilvl="0" w:tplc="FEE896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4495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24FF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62BE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C8A2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4EA8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6C4C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0090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6630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90A241E"/>
    <w:multiLevelType w:val="hybridMultilevel"/>
    <w:tmpl w:val="92729128"/>
    <w:lvl w:ilvl="0" w:tplc="1AEE7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4601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2805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BCF5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B690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286A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94B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BE31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C05B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9351CEE"/>
    <w:multiLevelType w:val="hybridMultilevel"/>
    <w:tmpl w:val="4AFAC4BE"/>
    <w:lvl w:ilvl="0" w:tplc="93383B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5266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480E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88B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E034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C04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DEAE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DE1E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96A1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EA369ED"/>
    <w:multiLevelType w:val="hybridMultilevel"/>
    <w:tmpl w:val="D304CB80"/>
    <w:lvl w:ilvl="0" w:tplc="3BF2FF7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BB30C9"/>
    <w:multiLevelType w:val="hybridMultilevel"/>
    <w:tmpl w:val="A37EB7C2"/>
    <w:lvl w:ilvl="0" w:tplc="3BF2FF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5EE3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DC0B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0869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6050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E212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DAB6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A0ED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DA69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6A4425"/>
    <w:multiLevelType w:val="hybridMultilevel"/>
    <w:tmpl w:val="7310BABC"/>
    <w:lvl w:ilvl="0" w:tplc="BACCAA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1206B"/>
    <w:multiLevelType w:val="hybridMultilevel"/>
    <w:tmpl w:val="C764E5B6"/>
    <w:lvl w:ilvl="0" w:tplc="B1686CA8">
      <w:start w:val="3"/>
      <w:numFmt w:val="decimal"/>
      <w:lvlText w:val="%1"/>
      <w:lvlJc w:val="left"/>
      <w:pPr>
        <w:ind w:left="720" w:hanging="360"/>
      </w:pPr>
      <w:rPr>
        <w:rFonts w:eastAsiaTheme="minorEastAsia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7D58EE"/>
    <w:multiLevelType w:val="hybridMultilevel"/>
    <w:tmpl w:val="C5A4ACD6"/>
    <w:lvl w:ilvl="0" w:tplc="1320F3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0C44E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22E7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20B5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8080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8CA6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FAA4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DAB7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722E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6000C78"/>
    <w:multiLevelType w:val="hybridMultilevel"/>
    <w:tmpl w:val="F48E9438"/>
    <w:lvl w:ilvl="0" w:tplc="D69EF3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8EC4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A047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9C70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A8A1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8AC8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C4E0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0C3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0846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8B61478"/>
    <w:multiLevelType w:val="hybridMultilevel"/>
    <w:tmpl w:val="EC40E2D6"/>
    <w:lvl w:ilvl="0" w:tplc="D2D263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1461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96CC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1CF0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763A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F42B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FEBB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9277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2A37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963632E"/>
    <w:multiLevelType w:val="hybridMultilevel"/>
    <w:tmpl w:val="6A1E85F0"/>
    <w:lvl w:ilvl="0" w:tplc="BACCAA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3E62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A8CF5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CC4C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FC33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C294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D650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E80D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22F1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B076BBE"/>
    <w:multiLevelType w:val="hybridMultilevel"/>
    <w:tmpl w:val="5E3A51C8"/>
    <w:lvl w:ilvl="0" w:tplc="C3C62DC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44DBC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6AA5A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D85B4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92CA7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3A8EF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58B15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74754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ECE39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96E3A67"/>
    <w:multiLevelType w:val="hybridMultilevel"/>
    <w:tmpl w:val="84A2A9B6"/>
    <w:lvl w:ilvl="0" w:tplc="4DF4F4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8A51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F844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1E7C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1CA7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4A92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0EC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B03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A48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20"/>
  </w:num>
  <w:num w:numId="3">
    <w:abstractNumId w:val="18"/>
  </w:num>
  <w:num w:numId="4">
    <w:abstractNumId w:val="21"/>
  </w:num>
  <w:num w:numId="5">
    <w:abstractNumId w:val="3"/>
  </w:num>
  <w:num w:numId="6">
    <w:abstractNumId w:val="4"/>
  </w:num>
  <w:num w:numId="7">
    <w:abstractNumId w:val="16"/>
  </w:num>
  <w:num w:numId="8">
    <w:abstractNumId w:val="9"/>
  </w:num>
  <w:num w:numId="9">
    <w:abstractNumId w:val="6"/>
  </w:num>
  <w:num w:numId="10">
    <w:abstractNumId w:val="2"/>
  </w:num>
  <w:num w:numId="11">
    <w:abstractNumId w:val="19"/>
  </w:num>
  <w:num w:numId="12">
    <w:abstractNumId w:val="0"/>
  </w:num>
  <w:num w:numId="13">
    <w:abstractNumId w:val="11"/>
  </w:num>
  <w:num w:numId="14">
    <w:abstractNumId w:val="17"/>
  </w:num>
  <w:num w:numId="15">
    <w:abstractNumId w:val="10"/>
  </w:num>
  <w:num w:numId="16">
    <w:abstractNumId w:val="13"/>
  </w:num>
  <w:num w:numId="17">
    <w:abstractNumId w:val="12"/>
  </w:num>
  <w:num w:numId="18">
    <w:abstractNumId w:val="14"/>
  </w:num>
  <w:num w:numId="19">
    <w:abstractNumId w:val="5"/>
  </w:num>
  <w:num w:numId="20">
    <w:abstractNumId w:val="8"/>
  </w:num>
  <w:num w:numId="21">
    <w:abstractNumId w:val="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DE6"/>
    <w:rsid w:val="002275F5"/>
    <w:rsid w:val="00393194"/>
    <w:rsid w:val="003A35ED"/>
    <w:rsid w:val="003D6DE6"/>
    <w:rsid w:val="00407832"/>
    <w:rsid w:val="00417F45"/>
    <w:rsid w:val="004317BE"/>
    <w:rsid w:val="00613664"/>
    <w:rsid w:val="006B2B84"/>
    <w:rsid w:val="006D6FBF"/>
    <w:rsid w:val="00704621"/>
    <w:rsid w:val="00742DC5"/>
    <w:rsid w:val="007D0F2C"/>
    <w:rsid w:val="00865DB1"/>
    <w:rsid w:val="008B4700"/>
    <w:rsid w:val="00A31DFE"/>
    <w:rsid w:val="00B315D6"/>
    <w:rsid w:val="00CC4E5D"/>
    <w:rsid w:val="00DF4727"/>
    <w:rsid w:val="00E57BF0"/>
    <w:rsid w:val="00E6415A"/>
    <w:rsid w:val="00EC42DD"/>
    <w:rsid w:val="00EF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C946E"/>
  <w15:chartTrackingRefBased/>
  <w15:docId w15:val="{E5AA9158-001B-47A4-A0C2-C47DB9B9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3D6DE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D6D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393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57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89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1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34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23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97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23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9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96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87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18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0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39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01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97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8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065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24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69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619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8631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607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696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58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5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30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32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85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23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0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0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70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2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634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389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67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6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5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292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49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63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1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525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36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86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72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87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7962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247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621</Words>
  <Characters>3419</Characters>
  <Application>Microsoft Office Word</Application>
  <DocSecurity>0</DocSecurity>
  <Lines>28</Lines>
  <Paragraphs>8</Paragraphs>
  <ScaleCrop>false</ScaleCrop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cchahra 22</dc:creator>
  <cp:keywords/>
  <dc:description/>
  <cp:lastModifiedBy>cchahra 22</cp:lastModifiedBy>
  <cp:revision>20</cp:revision>
  <dcterms:created xsi:type="dcterms:W3CDTF">2020-05-10T13:01:00Z</dcterms:created>
  <dcterms:modified xsi:type="dcterms:W3CDTF">2020-05-14T23:21:00Z</dcterms:modified>
</cp:coreProperties>
</file>