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E4" w:rsidRPr="00851197" w:rsidRDefault="008E09E4" w:rsidP="001F626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1197">
        <w:rPr>
          <w:rFonts w:asciiTheme="majorBidi" w:hAnsiTheme="majorBidi" w:cstheme="majorBidi"/>
          <w:b/>
          <w:bCs/>
          <w:sz w:val="28"/>
          <w:szCs w:val="28"/>
        </w:rPr>
        <w:t>Chapitre I </w:t>
      </w:r>
      <w:r w:rsidR="00851197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8511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1197">
        <w:rPr>
          <w:rFonts w:asciiTheme="majorBidi" w:hAnsiTheme="majorBidi" w:cstheme="majorBidi"/>
          <w:b/>
          <w:bCs/>
          <w:sz w:val="28"/>
          <w:szCs w:val="28"/>
        </w:rPr>
        <w:t xml:space="preserve"> cours N2 / N</w:t>
      </w:r>
      <w:r w:rsidRPr="00851197">
        <w:rPr>
          <w:rFonts w:asciiTheme="majorBidi" w:hAnsiTheme="majorBidi" w:cstheme="majorBidi"/>
          <w:b/>
          <w:bCs/>
          <w:sz w:val="28"/>
          <w:szCs w:val="28"/>
        </w:rPr>
        <w:t xml:space="preserve">otions fondamentales </w:t>
      </w:r>
      <w:r w:rsidR="001F6261">
        <w:rPr>
          <w:rFonts w:asciiTheme="majorBidi" w:hAnsiTheme="majorBidi" w:cstheme="majorBidi"/>
          <w:b/>
          <w:bCs/>
          <w:sz w:val="28"/>
          <w:szCs w:val="28"/>
        </w:rPr>
        <w:t>sur le</w:t>
      </w:r>
      <w:r w:rsidRPr="00851197">
        <w:rPr>
          <w:rFonts w:asciiTheme="majorBidi" w:hAnsiTheme="majorBidi" w:cstheme="majorBidi"/>
          <w:b/>
          <w:bCs/>
          <w:sz w:val="28"/>
          <w:szCs w:val="28"/>
        </w:rPr>
        <w:t xml:space="preserve"> moulage en fonderie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E09E4" w:rsidTr="00851197">
        <w:tc>
          <w:tcPr>
            <w:tcW w:w="9212" w:type="dxa"/>
            <w:shd w:val="clear" w:color="auto" w:fill="FBD4B4" w:themeFill="accent6" w:themeFillTint="66"/>
          </w:tcPr>
          <w:p w:rsidR="008E09E4" w:rsidRDefault="008E09E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du cours :</w:t>
            </w:r>
          </w:p>
          <w:p w:rsidR="008E09E4" w:rsidRDefault="008E09E4" w:rsidP="00851197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Acquérir des connaissances </w:t>
            </w:r>
            <w:r w:rsidR="00851197">
              <w:rPr>
                <w:rFonts w:asciiTheme="majorBidi" w:hAnsiTheme="majorBidi" w:cstheme="majorBidi"/>
                <w:sz w:val="24"/>
                <w:szCs w:val="24"/>
              </w:rPr>
              <w:t>concern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ant les caractéristiques </w:t>
            </w:r>
            <w:r w:rsidR="00851197"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tenir en compte lors de la fabrication d’un modèle.</w:t>
            </w:r>
          </w:p>
          <w:p w:rsidR="008F63D5" w:rsidRDefault="008F63D5" w:rsidP="008F63D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Dépouille</w:t>
            </w:r>
          </w:p>
          <w:p w:rsidR="008F63D5" w:rsidRDefault="008F63D5" w:rsidP="008F63D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Retrait</w:t>
            </w:r>
          </w:p>
          <w:p w:rsidR="008F63D5" w:rsidRDefault="008F63D5" w:rsidP="008F63D5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Joint de moulage</w:t>
            </w:r>
          </w:p>
          <w:p w:rsidR="008F63D5" w:rsidRPr="008F63D5" w:rsidRDefault="008F63D5" w:rsidP="00BA4A0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Surépaisseurs d’usinage </w:t>
            </w:r>
          </w:p>
          <w:p w:rsidR="008E09E4" w:rsidRPr="008E09E4" w:rsidRDefault="008E09E4" w:rsidP="00BA4A08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851197" w:rsidRDefault="00851197">
      <w:pPr>
        <w:rPr>
          <w:rFonts w:asciiTheme="majorBidi" w:hAnsiTheme="majorBidi" w:cstheme="majorBidi"/>
          <w:sz w:val="24"/>
          <w:szCs w:val="24"/>
        </w:rPr>
      </w:pPr>
    </w:p>
    <w:p w:rsidR="00851197" w:rsidRPr="007E09C0" w:rsidRDefault="00851197" w:rsidP="006B5F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09C0">
        <w:rPr>
          <w:rFonts w:asciiTheme="majorBidi" w:hAnsiTheme="majorBidi" w:cstheme="majorBidi"/>
          <w:b/>
          <w:bCs/>
          <w:sz w:val="24"/>
          <w:szCs w:val="24"/>
        </w:rPr>
        <w:t>I.</w:t>
      </w:r>
      <w:r w:rsidR="006B5FFD" w:rsidRPr="007E09C0">
        <w:rPr>
          <w:rFonts w:asciiTheme="majorBidi" w:hAnsiTheme="majorBidi" w:cstheme="majorBidi"/>
          <w:b/>
          <w:bCs/>
          <w:sz w:val="24"/>
          <w:szCs w:val="24"/>
        </w:rPr>
        <w:t>4. l</w:t>
      </w:r>
      <w:r w:rsidRPr="007E09C0">
        <w:rPr>
          <w:rFonts w:asciiTheme="majorBidi" w:hAnsiTheme="majorBidi" w:cstheme="majorBidi"/>
          <w:b/>
          <w:bCs/>
          <w:sz w:val="24"/>
          <w:szCs w:val="24"/>
        </w:rPr>
        <w:t>es caractéristiques à tenir en compte lors de la fabrication d’un modèle.</w:t>
      </w:r>
    </w:p>
    <w:p w:rsidR="006B5FFD" w:rsidRDefault="006B5FFD" w:rsidP="0073595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09C0">
        <w:rPr>
          <w:rFonts w:asciiTheme="majorBidi" w:hAnsiTheme="majorBidi" w:cstheme="majorBidi"/>
          <w:b/>
          <w:bCs/>
          <w:sz w:val="24"/>
          <w:szCs w:val="24"/>
        </w:rPr>
        <w:t>I.4.1.  La dépouille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35953" w:rsidTr="00157317">
        <w:trPr>
          <w:trHeight w:val="2293"/>
        </w:trPr>
        <w:tc>
          <w:tcPr>
            <w:tcW w:w="9212" w:type="dxa"/>
            <w:shd w:val="clear" w:color="auto" w:fill="FBD4B4" w:themeFill="accent6" w:themeFillTint="66"/>
          </w:tcPr>
          <w:p w:rsidR="00735953" w:rsidRPr="00735953" w:rsidRDefault="00735953" w:rsidP="007359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Définition </w:t>
            </w:r>
          </w:p>
          <w:p w:rsidR="00735953" w:rsidRDefault="00735953" w:rsidP="007359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C’est la caractéristique la plus importante à considérer lors de la fabrication d’un modèle la dépouille par définition est une légère inclinaison du bas par rapport à l’extrémité supérieure du modèle, ceci a pour but de faciliter le décollement du modèle en libérant une forme (empreinte ) fidèle au dimensions du modèle </w:t>
            </w:r>
          </w:p>
          <w:p w:rsidR="00735953" w:rsidRDefault="00735953" w:rsidP="007359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35953" w:rsidRDefault="00157317" w:rsidP="0073595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418402" cy="4125600"/>
            <wp:effectExtent l="19050" t="0" r="1198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82" cy="412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E6" w:rsidRPr="008F63D5" w:rsidRDefault="008F63D5" w:rsidP="00BA4A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Figure I</w:t>
      </w:r>
      <w:r w:rsidRPr="008F63D5">
        <w:rPr>
          <w:rFonts w:asciiTheme="majorBidi" w:hAnsiTheme="majorBidi" w:cstheme="majorBidi"/>
          <w:sz w:val="24"/>
          <w:szCs w:val="24"/>
        </w:rPr>
        <w:t xml:space="preserve">. </w:t>
      </w:r>
      <w:r w:rsidR="00BA4A08">
        <w:rPr>
          <w:rFonts w:asciiTheme="majorBidi" w:hAnsiTheme="majorBidi" w:cstheme="majorBidi"/>
          <w:sz w:val="24"/>
          <w:szCs w:val="24"/>
        </w:rPr>
        <w:t xml:space="preserve">1 : </w:t>
      </w:r>
      <w:r w:rsidR="00BA4A08" w:rsidRPr="008F63D5">
        <w:rPr>
          <w:rFonts w:asciiTheme="majorBidi" w:hAnsiTheme="majorBidi" w:cstheme="majorBidi"/>
          <w:sz w:val="24"/>
          <w:szCs w:val="24"/>
        </w:rPr>
        <w:t>les</w:t>
      </w:r>
      <w:r w:rsidRPr="008F63D5">
        <w:rPr>
          <w:rFonts w:asciiTheme="majorBidi" w:hAnsiTheme="majorBidi" w:cstheme="majorBidi"/>
          <w:sz w:val="24"/>
          <w:szCs w:val="24"/>
        </w:rPr>
        <w:t xml:space="preserve"> trois cas de démoulage</w:t>
      </w:r>
      <w:r w:rsidR="00BA4A08">
        <w:rPr>
          <w:rFonts w:asciiTheme="majorBidi" w:hAnsiTheme="majorBidi" w:cstheme="majorBidi"/>
          <w:sz w:val="24"/>
          <w:szCs w:val="24"/>
        </w:rPr>
        <w:t xml:space="preserve"> (séparation du modèle du moule )</w:t>
      </w:r>
      <w:r w:rsidRPr="008F63D5">
        <w:rPr>
          <w:rFonts w:asciiTheme="majorBidi" w:hAnsiTheme="majorBidi" w:cstheme="majorBidi"/>
          <w:sz w:val="24"/>
          <w:szCs w:val="24"/>
        </w:rPr>
        <w:t>avec dépouille, sans dépouille, en contre dépouille</w:t>
      </w:r>
      <w:r w:rsidR="00BA4A08">
        <w:rPr>
          <w:rFonts w:asciiTheme="majorBidi" w:hAnsiTheme="majorBidi" w:cstheme="majorBidi"/>
          <w:sz w:val="24"/>
          <w:szCs w:val="24"/>
        </w:rPr>
        <w:t>.</w:t>
      </w:r>
    </w:p>
    <w:p w:rsidR="00735953" w:rsidRPr="00735953" w:rsidRDefault="00735953" w:rsidP="0073595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35953">
        <w:rPr>
          <w:rFonts w:asciiTheme="majorBidi" w:hAnsiTheme="majorBidi" w:cstheme="majorBidi"/>
          <w:b/>
          <w:bCs/>
          <w:sz w:val="24"/>
          <w:szCs w:val="24"/>
        </w:rPr>
        <w:lastRenderedPageBreak/>
        <w:t>Comment peut-on mesurer la dépouille ? La réponse est la suivante :</w:t>
      </w:r>
    </w:p>
    <w:p w:rsidR="006B5FFD" w:rsidRDefault="006B5FFD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nous considérant le triangle </w:t>
      </w:r>
      <w:r w:rsidR="007E09C0">
        <w:rPr>
          <w:rFonts w:asciiTheme="majorBidi" w:hAnsiTheme="majorBidi" w:cstheme="majorBidi"/>
          <w:sz w:val="24"/>
          <w:szCs w:val="24"/>
        </w:rPr>
        <w:t>rectangle en A</w:t>
      </w:r>
      <w:r w:rsidR="00D47FF5">
        <w:rPr>
          <w:rFonts w:asciiTheme="majorBidi" w:hAnsiTheme="majorBidi" w:cstheme="majorBidi"/>
          <w:sz w:val="24"/>
          <w:szCs w:val="24"/>
        </w:rPr>
        <w:t> </w:t>
      </w:r>
      <w:r w:rsidR="00D47FF5" w:rsidRPr="00333463">
        <w:rPr>
          <w:rFonts w:asciiTheme="majorBidi" w:hAnsiTheme="majorBidi" w:cstheme="majorBidi"/>
          <w:b/>
          <w:bCs/>
          <w:sz w:val="24"/>
          <w:szCs w:val="24"/>
        </w:rPr>
        <w:t xml:space="preserve">;   la pente = tg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α= 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AC</m:t>
            </m:r>
          </m:den>
        </m:f>
      </m:oMath>
      <w:r w:rsidR="007E09C0">
        <w:rPr>
          <w:rFonts w:asciiTheme="majorBidi" w:hAnsiTheme="majorBidi" w:cstheme="majorBidi"/>
          <w:sz w:val="24"/>
          <w:szCs w:val="24"/>
        </w:rPr>
        <w:t xml:space="preserve"> </w:t>
      </w:r>
    </w:p>
    <w:p w:rsidR="00152341" w:rsidRDefault="00D47FF5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Différents cas de mesure de dépouille </w:t>
      </w:r>
    </w:p>
    <w:p w:rsidR="00152341" w:rsidRDefault="00152341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2341" w:rsidRDefault="00152341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2341" w:rsidRDefault="00DD192D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35805" cy="216027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41" w:rsidRDefault="00DD192D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Pr="00924429">
        <w:rPr>
          <w:rFonts w:asciiTheme="majorBidi" w:hAnsiTheme="majorBidi" w:cstheme="majorBidi"/>
          <w:b/>
          <w:bCs/>
          <w:sz w:val="24"/>
          <w:szCs w:val="24"/>
        </w:rPr>
        <w:t>La figure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,            </w:t>
      </w:r>
      <w:r w:rsidRPr="00924429">
        <w:rPr>
          <w:rFonts w:asciiTheme="majorBidi" w:hAnsiTheme="majorBidi" w:cstheme="majorBidi"/>
          <w:b/>
          <w:bCs/>
          <w:sz w:val="24"/>
          <w:szCs w:val="24"/>
        </w:rPr>
        <w:t>La figure b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Pr="00333463">
        <w:rPr>
          <w:rFonts w:asciiTheme="majorBidi" w:hAnsiTheme="majorBidi" w:cstheme="majorBidi"/>
          <w:b/>
          <w:bCs/>
          <w:sz w:val="24"/>
          <w:szCs w:val="24"/>
        </w:rPr>
        <w:t>La figure c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D47FF5" w:rsidRDefault="00D47FF5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:</w:t>
      </w:r>
    </w:p>
    <w:p w:rsidR="00D47FF5" w:rsidRDefault="00D47FF5" w:rsidP="003334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3 cas de figure a,b,c présente les trois méthodes adopter pur la mesure de la dépouille </w:t>
      </w:r>
    </w:p>
    <w:p w:rsidR="00D47FF5" w:rsidRDefault="00924429" w:rsidP="00D700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429">
        <w:rPr>
          <w:rFonts w:asciiTheme="majorBidi" w:hAnsiTheme="majorBidi" w:cstheme="majorBidi"/>
          <w:b/>
          <w:bCs/>
          <w:sz w:val="24"/>
          <w:szCs w:val="24"/>
        </w:rPr>
        <w:t xml:space="preserve">La figure </w:t>
      </w:r>
      <w:r w:rsidR="00DD192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924429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celle-ci donne la dépouille en</w:t>
      </w:r>
      <w:r w:rsidRPr="00333463">
        <w:rPr>
          <w:rFonts w:asciiTheme="majorBidi" w:hAnsiTheme="majorBidi" w:cstheme="majorBidi"/>
          <w:b/>
          <w:bCs/>
          <w:sz w:val="24"/>
          <w:szCs w:val="24"/>
        </w:rPr>
        <w:t xml:space="preserve"> % </w:t>
      </w:r>
      <w:r>
        <w:rPr>
          <w:rFonts w:asciiTheme="majorBidi" w:hAnsiTheme="majorBidi" w:cstheme="majorBidi"/>
          <w:sz w:val="24"/>
          <w:szCs w:val="24"/>
        </w:rPr>
        <w:t xml:space="preserve">c'est-à-dire en </w:t>
      </w:r>
      <w:r w:rsidRPr="00333463">
        <w:rPr>
          <w:rFonts w:asciiTheme="majorBidi" w:hAnsiTheme="majorBidi" w:cstheme="majorBidi"/>
          <w:b/>
          <w:bCs/>
          <w:sz w:val="24"/>
          <w:szCs w:val="24"/>
        </w:rPr>
        <w:t xml:space="preserve">tg </w:t>
      </w:r>
      <w:r w:rsidR="00D700E6">
        <w:rPr>
          <w:rFonts w:asciiTheme="majorBidi" w:hAnsiTheme="majorBidi" w:cstheme="majorBidi"/>
          <w:b/>
          <w:bCs/>
          <w:sz w:val="24"/>
          <w:szCs w:val="24"/>
        </w:rPr>
        <w:t>θ</w:t>
      </w:r>
    </w:p>
    <w:p w:rsidR="00924429" w:rsidRDefault="00DD192D" w:rsidP="00D700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figure a</w:t>
      </w:r>
      <w:r w:rsidR="00924429">
        <w:rPr>
          <w:rFonts w:asciiTheme="majorBidi" w:hAnsiTheme="majorBidi" w:cstheme="majorBidi"/>
          <w:sz w:val="24"/>
          <w:szCs w:val="24"/>
        </w:rPr>
        <w:t xml:space="preserve"> : la dépouille dans ce cas est exprimée par </w:t>
      </w:r>
      <w:r w:rsidR="00924429" w:rsidRPr="00333463">
        <w:rPr>
          <w:rFonts w:asciiTheme="majorBidi" w:hAnsiTheme="majorBidi" w:cstheme="majorBidi"/>
          <w:b/>
          <w:bCs/>
          <w:sz w:val="24"/>
          <w:szCs w:val="24"/>
        </w:rPr>
        <w:t xml:space="preserve">l’angle </w:t>
      </w:r>
      <w:r w:rsidR="00D700E6">
        <w:rPr>
          <w:rFonts w:asciiTheme="majorBidi" w:hAnsiTheme="majorBidi" w:cstheme="majorBidi"/>
          <w:b/>
          <w:bCs/>
          <w:sz w:val="24"/>
          <w:szCs w:val="24"/>
        </w:rPr>
        <w:t xml:space="preserve">θ </w:t>
      </w:r>
      <w:r w:rsidR="00924429">
        <w:rPr>
          <w:rFonts w:asciiTheme="majorBidi" w:hAnsiTheme="majorBidi" w:cstheme="majorBidi"/>
          <w:sz w:val="24"/>
          <w:szCs w:val="24"/>
        </w:rPr>
        <w:t xml:space="preserve">en degré et minute </w:t>
      </w:r>
    </w:p>
    <w:p w:rsidR="00862D3D" w:rsidRDefault="00924429" w:rsidP="00862D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3463">
        <w:rPr>
          <w:rFonts w:asciiTheme="majorBidi" w:hAnsiTheme="majorBidi" w:cstheme="majorBidi"/>
          <w:b/>
          <w:bCs/>
          <w:sz w:val="24"/>
          <w:szCs w:val="24"/>
        </w:rPr>
        <w:t>La figure c</w:t>
      </w:r>
      <w:r>
        <w:rPr>
          <w:rFonts w:asciiTheme="majorBidi" w:hAnsiTheme="majorBidi" w:cstheme="majorBidi"/>
          <w:sz w:val="24"/>
          <w:szCs w:val="24"/>
        </w:rPr>
        <w:t xml:space="preserve"> : pour ce 3 cas la dépouille est exprimée </w:t>
      </w:r>
      <w:r w:rsidRPr="00333463">
        <w:rPr>
          <w:rFonts w:asciiTheme="majorBidi" w:hAnsiTheme="majorBidi" w:cstheme="majorBidi"/>
          <w:b/>
          <w:bCs/>
          <w:sz w:val="24"/>
          <w:szCs w:val="24"/>
        </w:rPr>
        <w:t xml:space="preserve">en distance en (mm) </w:t>
      </w:r>
      <w:r>
        <w:rPr>
          <w:rFonts w:asciiTheme="majorBidi" w:hAnsiTheme="majorBidi" w:cstheme="majorBidi"/>
          <w:sz w:val="24"/>
          <w:szCs w:val="24"/>
        </w:rPr>
        <w:t>dont on doit</w:t>
      </w:r>
    </w:p>
    <w:p w:rsidR="00924429" w:rsidRDefault="00924429" w:rsidP="00862D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diminuer la dimension d’un objet de sa partie inferieure c'est-à-dire </w:t>
      </w:r>
      <w:r w:rsidRPr="00333463">
        <w:rPr>
          <w:rFonts w:asciiTheme="majorBidi" w:hAnsiTheme="majorBidi" w:cstheme="majorBidi"/>
          <w:b/>
          <w:bCs/>
          <w:sz w:val="24"/>
          <w:szCs w:val="24"/>
        </w:rPr>
        <w:t>la distance d</w:t>
      </w:r>
      <w:r>
        <w:rPr>
          <w:rFonts w:asciiTheme="majorBidi" w:hAnsiTheme="majorBidi" w:cstheme="majorBidi"/>
          <w:sz w:val="24"/>
          <w:szCs w:val="24"/>
        </w:rPr>
        <w:t xml:space="preserve"> voir figure c</w:t>
      </w:r>
    </w:p>
    <w:p w:rsidR="00862D3D" w:rsidRDefault="00862D3D" w:rsidP="00862D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2D3D" w:rsidRPr="00735953" w:rsidRDefault="00D700E6" w:rsidP="00D700E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Généralement c’est la tg θ</w:t>
      </w:r>
      <w:r w:rsidR="00333463" w:rsidRPr="00735953">
        <w:rPr>
          <w:rFonts w:asciiTheme="majorBidi" w:hAnsiTheme="majorBidi" w:cstheme="majorBidi"/>
          <w:b/>
          <w:bCs/>
          <w:sz w:val="24"/>
          <w:szCs w:val="24"/>
        </w:rPr>
        <w:t>’est à dire   en % qui prise comme mesure conventionnelle</w:t>
      </w:r>
    </w:p>
    <w:p w:rsidR="00862D3D" w:rsidRPr="00735953" w:rsidRDefault="00862D3D" w:rsidP="00862D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E6156" w:rsidRPr="00735953" w:rsidRDefault="00862D3D" w:rsidP="003334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5953">
        <w:rPr>
          <w:rFonts w:asciiTheme="majorBidi" w:hAnsiTheme="majorBidi" w:cstheme="majorBidi"/>
          <w:b/>
          <w:bCs/>
          <w:sz w:val="24"/>
          <w:szCs w:val="24"/>
        </w:rPr>
        <w:t>I.4.1.1 Les facteurs agissants sur la grandeur de la dépouille</w:t>
      </w:r>
    </w:p>
    <w:p w:rsidR="00DB5E54" w:rsidRDefault="00DE6156" w:rsidP="0033346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1. un modèle </w:t>
      </w:r>
      <w:r w:rsidRPr="00DE6156">
        <w:rPr>
          <w:rFonts w:asciiTheme="majorBidi" w:hAnsiTheme="majorBidi" w:cstheme="majorBidi"/>
          <w:b/>
          <w:bCs/>
          <w:sz w:val="24"/>
          <w:szCs w:val="24"/>
        </w:rPr>
        <w:t>mieux poli, bien verni</w:t>
      </w:r>
      <w:r>
        <w:rPr>
          <w:rFonts w:asciiTheme="majorBidi" w:hAnsiTheme="majorBidi" w:cstheme="majorBidi"/>
          <w:sz w:val="24"/>
          <w:szCs w:val="24"/>
        </w:rPr>
        <w:t xml:space="preserve"> et par conséquent son état </w:t>
      </w:r>
      <w:r w:rsidRPr="00DE6156">
        <w:rPr>
          <w:rFonts w:asciiTheme="majorBidi" w:hAnsiTheme="majorBidi" w:cstheme="majorBidi"/>
          <w:b/>
          <w:bCs/>
          <w:sz w:val="24"/>
          <w:szCs w:val="24"/>
        </w:rPr>
        <w:t>de surface très liss</w:t>
      </w:r>
      <w:r>
        <w:rPr>
          <w:rFonts w:asciiTheme="majorBidi" w:hAnsiTheme="majorBidi" w:cstheme="majorBidi"/>
          <w:sz w:val="24"/>
          <w:szCs w:val="24"/>
        </w:rPr>
        <w:t xml:space="preserve">e , permet une </w:t>
      </w:r>
      <w:r w:rsidRPr="00DE6156">
        <w:rPr>
          <w:rFonts w:asciiTheme="majorBidi" w:hAnsiTheme="majorBidi" w:cstheme="majorBidi"/>
          <w:b/>
          <w:bCs/>
          <w:sz w:val="24"/>
          <w:szCs w:val="24"/>
        </w:rPr>
        <w:t>dépouille très faible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r w:rsidR="00862D3D">
        <w:rPr>
          <w:rFonts w:asciiTheme="majorBidi" w:hAnsiTheme="majorBidi" w:cstheme="majorBidi"/>
          <w:sz w:val="24"/>
          <w:szCs w:val="24"/>
        </w:rPr>
        <w:t xml:space="preserve">  </w:t>
      </w:r>
      <w:r w:rsidR="008E09E4" w:rsidRPr="008E09E4">
        <w:rPr>
          <w:rFonts w:asciiTheme="majorBidi" w:hAnsiTheme="majorBidi" w:cstheme="majorBidi"/>
          <w:sz w:val="24"/>
          <w:szCs w:val="24"/>
        </w:rPr>
        <w:tab/>
      </w:r>
    </w:p>
    <w:p w:rsidR="00DE6156" w:rsidRPr="001F420F" w:rsidRDefault="00DE6156" w:rsidP="003334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la dépouille varie dans le sens inverse de la longueur de modèle à démouler  pour les modèle 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>très long</w:t>
      </w:r>
      <w:r>
        <w:rPr>
          <w:rFonts w:asciiTheme="majorBidi" w:hAnsiTheme="majorBidi" w:cstheme="majorBidi"/>
          <w:sz w:val="24"/>
          <w:szCs w:val="24"/>
        </w:rPr>
        <w:t xml:space="preserve"> la dépouille est par conséquent 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 xml:space="preserve">très faible </w:t>
      </w:r>
    </w:p>
    <w:p w:rsidR="00DE6156" w:rsidRDefault="00DE6156" w:rsidP="001F420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Il est important que toutes les 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>surfaces du modèle</w:t>
      </w:r>
      <w:r>
        <w:rPr>
          <w:rFonts w:asciiTheme="majorBidi" w:hAnsiTheme="majorBidi" w:cstheme="majorBidi"/>
          <w:sz w:val="24"/>
          <w:szCs w:val="24"/>
        </w:rPr>
        <w:t xml:space="preserve"> on des dépouilles qui 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>s’</w:t>
      </w:r>
      <w:r w:rsidR="001F420F" w:rsidRPr="001F420F">
        <w:rPr>
          <w:rFonts w:asciiTheme="majorBidi" w:hAnsiTheme="majorBidi" w:cstheme="majorBidi"/>
          <w:b/>
          <w:bCs/>
          <w:sz w:val="24"/>
          <w:szCs w:val="24"/>
        </w:rPr>
        <w:t>orientent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dans le </w:t>
      </w:r>
      <w:r w:rsidRPr="001F420F">
        <w:rPr>
          <w:rFonts w:asciiTheme="majorBidi" w:hAnsiTheme="majorBidi" w:cstheme="majorBidi"/>
          <w:b/>
          <w:bCs/>
          <w:sz w:val="24"/>
          <w:szCs w:val="24"/>
        </w:rPr>
        <w:t>même sens</w:t>
      </w:r>
      <w:r w:rsidR="001F42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420F">
        <w:rPr>
          <w:rFonts w:asciiTheme="majorBidi" w:hAnsiTheme="majorBidi" w:cstheme="majorBidi"/>
          <w:sz w:val="24"/>
          <w:szCs w:val="24"/>
        </w:rPr>
        <w:t xml:space="preserve"> dans le cas contraire une surface dont la dépouille en sens inverse empêchera le décollement du modèle et va détruire la forme (empreinte)</w:t>
      </w:r>
    </w:p>
    <w:p w:rsid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D700E6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D700E6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D700E6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D700E6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D700E6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825C0" w:rsidRDefault="004F399F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I.4.2. </w:t>
      </w:r>
      <w:r w:rsidR="00B825C0">
        <w:rPr>
          <w:rFonts w:asciiTheme="majorBidi" w:hAnsiTheme="majorBidi" w:cstheme="majorBidi"/>
          <w:b/>
          <w:bCs/>
          <w:sz w:val="24"/>
          <w:szCs w:val="24"/>
        </w:rPr>
        <w:t xml:space="preserve">Le retrait </w:t>
      </w:r>
    </w:p>
    <w:p w:rsidR="00B825C0" w:rsidRP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922DA" w:rsidRDefault="00B825C0" w:rsidP="00B825C0">
      <w:pPr>
        <w:jc w:val="both"/>
        <w:rPr>
          <w:rFonts w:ascii="TTE19B7768t00" w:hAnsi="TTE19B7768t00" w:cs="TTE19B7768t00"/>
          <w:sz w:val="20"/>
          <w:szCs w:val="20"/>
        </w:rPr>
      </w:pPr>
      <w:r w:rsidRPr="00B825C0">
        <w:rPr>
          <w:rFonts w:asciiTheme="majorBidi" w:hAnsiTheme="majorBidi" w:cstheme="majorBidi"/>
          <w:sz w:val="24"/>
          <w:szCs w:val="24"/>
        </w:rPr>
        <w:t>C’est un phénomène physique de contraction du métal ( ou alliage ) lors de sa solidification ( recristallis</w:t>
      </w:r>
      <w:r>
        <w:rPr>
          <w:rFonts w:ascii="TTE19B7768t00" w:hAnsi="TTE19B7768t00" w:cs="TTE19B7768t00"/>
          <w:sz w:val="20"/>
          <w:szCs w:val="20"/>
        </w:rPr>
        <w:t>ation ).</w:t>
      </w:r>
    </w:p>
    <w:p w:rsidR="00B825C0" w:rsidRDefault="004F399F" w:rsidP="00B825C0">
      <w:pPr>
        <w:jc w:val="both"/>
        <w:rPr>
          <w:rFonts w:ascii="TTE19B7768t00" w:hAnsi="TTE19B7768t00" w:cs="TTE19B7768t00"/>
          <w:sz w:val="20"/>
          <w:szCs w:val="20"/>
        </w:rPr>
      </w:pPr>
      <w:r>
        <w:rPr>
          <w:rFonts w:ascii="TTE19B7768t00" w:hAnsi="TTE19B7768t00" w:cs="TTE19B7768t00"/>
          <w:noProof/>
          <w:sz w:val="20"/>
          <w:szCs w:val="20"/>
          <w:lang w:eastAsia="fr-FR"/>
        </w:rPr>
        <w:drawing>
          <wp:inline distT="0" distB="0" distL="0" distR="0">
            <wp:extent cx="5760085" cy="21240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90" w:rsidRDefault="004F399F" w:rsidP="008F63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TE19B7768t00" w:hAnsi="TTE19B7768t00" w:cs="TTE19B7768t00"/>
          <w:sz w:val="20"/>
          <w:szCs w:val="20"/>
        </w:rPr>
        <w:t xml:space="preserve">                               </w:t>
      </w:r>
      <w:r w:rsidRPr="004F399F">
        <w:rPr>
          <w:rFonts w:asciiTheme="majorBidi" w:hAnsiTheme="majorBidi" w:cstheme="majorBidi"/>
          <w:b/>
          <w:bCs/>
          <w:sz w:val="24"/>
          <w:szCs w:val="24"/>
        </w:rPr>
        <w:t>Figure I</w:t>
      </w:r>
      <w:r w:rsidRPr="004F399F">
        <w:rPr>
          <w:rFonts w:asciiTheme="majorBidi" w:hAnsiTheme="majorBidi" w:cstheme="majorBidi"/>
          <w:sz w:val="24"/>
          <w:szCs w:val="24"/>
        </w:rPr>
        <w:t>.</w:t>
      </w:r>
      <w:r w:rsidR="00BA4A08">
        <w:rPr>
          <w:rFonts w:asciiTheme="majorBidi" w:hAnsiTheme="majorBidi" w:cstheme="majorBidi"/>
          <w:sz w:val="24"/>
          <w:szCs w:val="24"/>
        </w:rPr>
        <w:t>3 :</w:t>
      </w:r>
      <w:r w:rsidRPr="004F399F">
        <w:rPr>
          <w:rFonts w:asciiTheme="majorBidi" w:hAnsiTheme="majorBidi" w:cstheme="majorBidi"/>
          <w:sz w:val="24"/>
          <w:szCs w:val="24"/>
        </w:rPr>
        <w:t xml:space="preserve"> Schéma de variations de volume de l’acier, depuis l’état liquide </w:t>
      </w:r>
    </w:p>
    <w:p w:rsidR="00B825C0" w:rsidRDefault="00A80990" w:rsidP="008F63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Jusqu'à l’état solide </w:t>
      </w:r>
      <w:r w:rsidR="004F399F" w:rsidRPr="004F399F">
        <w:rPr>
          <w:rFonts w:asciiTheme="majorBidi" w:hAnsiTheme="majorBidi" w:cstheme="majorBidi"/>
          <w:sz w:val="24"/>
          <w:szCs w:val="24"/>
        </w:rPr>
        <w:t xml:space="preserve"> </w:t>
      </w:r>
    </w:p>
    <w:p w:rsidR="008F63D5" w:rsidRPr="004F399F" w:rsidRDefault="008F63D5" w:rsidP="008F63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825C0" w:rsidRDefault="00B825C0" w:rsidP="008F63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25C0">
        <w:rPr>
          <w:rFonts w:asciiTheme="majorBidi" w:hAnsiTheme="majorBidi" w:cstheme="majorBidi"/>
          <w:sz w:val="24"/>
          <w:szCs w:val="24"/>
        </w:rPr>
        <w:t>Son existence oblige le modeleur à prévoir sur le modèle des dimensions supérieures à celles de la pièce,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25C0">
        <w:rPr>
          <w:rFonts w:asciiTheme="majorBidi" w:hAnsiTheme="majorBidi" w:cstheme="majorBidi"/>
          <w:sz w:val="24"/>
          <w:szCs w:val="24"/>
        </w:rPr>
        <w:t xml:space="preserve">d’environ : </w:t>
      </w:r>
    </w:p>
    <w:p w:rsidR="00B825C0" w:rsidRP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B825C0">
        <w:rPr>
          <w:rFonts w:asciiTheme="majorBidi" w:hAnsiTheme="majorBidi" w:cstheme="majorBidi"/>
          <w:sz w:val="24"/>
          <w:szCs w:val="24"/>
        </w:rPr>
        <w:t>- 1,2 à 2,4% pour les aciers</w:t>
      </w:r>
    </w:p>
    <w:p w:rsidR="00B825C0" w:rsidRPr="00B825C0" w:rsidRDefault="00B825C0" w:rsidP="00B825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B825C0">
        <w:rPr>
          <w:rFonts w:asciiTheme="majorBidi" w:hAnsiTheme="majorBidi" w:cstheme="majorBidi"/>
          <w:sz w:val="24"/>
          <w:szCs w:val="24"/>
        </w:rPr>
        <w:t>- 1 à 1,5% pour les fontes</w:t>
      </w:r>
    </w:p>
    <w:p w:rsidR="00B825C0" w:rsidRPr="00B825C0" w:rsidRDefault="00B825C0" w:rsidP="00B825C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B825C0">
        <w:rPr>
          <w:rFonts w:asciiTheme="majorBidi" w:hAnsiTheme="majorBidi" w:cstheme="majorBidi"/>
          <w:sz w:val="24"/>
          <w:szCs w:val="24"/>
        </w:rPr>
        <w:t>- 1,2 à 1,6% pour les alliages d’aluminium et cuivreux</w:t>
      </w:r>
    </w:p>
    <w:p w:rsidR="001F420F" w:rsidRDefault="001F420F" w:rsidP="004F39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5B49">
        <w:rPr>
          <w:rFonts w:asciiTheme="majorBidi" w:hAnsiTheme="majorBidi" w:cstheme="majorBidi"/>
          <w:b/>
          <w:bCs/>
          <w:sz w:val="24"/>
          <w:szCs w:val="24"/>
        </w:rPr>
        <w:t>1.4.</w:t>
      </w:r>
      <w:r w:rsidR="004F399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E5B49">
        <w:rPr>
          <w:rFonts w:asciiTheme="majorBidi" w:hAnsiTheme="majorBidi" w:cstheme="majorBidi"/>
          <w:b/>
          <w:bCs/>
          <w:sz w:val="24"/>
          <w:szCs w:val="24"/>
        </w:rPr>
        <w:t xml:space="preserve"> Le joint de moulage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AB54B6" w:rsidTr="00735953">
        <w:tc>
          <w:tcPr>
            <w:tcW w:w="9212" w:type="dxa"/>
            <w:shd w:val="clear" w:color="auto" w:fill="FBD4B4" w:themeFill="accent6" w:themeFillTint="66"/>
          </w:tcPr>
          <w:p w:rsidR="000922DA" w:rsidRPr="000922DA" w:rsidRDefault="000922DA" w:rsidP="007359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22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Définition </w:t>
            </w:r>
          </w:p>
          <w:p w:rsidR="00735953" w:rsidRPr="00AB54B6" w:rsidRDefault="00735953" w:rsidP="007359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B54B6">
              <w:rPr>
                <w:rFonts w:asciiTheme="majorBidi" w:hAnsiTheme="majorBidi" w:cstheme="majorBidi"/>
                <w:sz w:val="24"/>
                <w:szCs w:val="24"/>
              </w:rPr>
              <w:t>Le joint de moulage est défini comme</w:t>
            </w:r>
            <w:r w:rsidRPr="00AB5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la ligne séparatrice</w:t>
            </w:r>
            <w:r w:rsidRPr="00AB54B6">
              <w:rPr>
                <w:rFonts w:asciiTheme="majorBidi" w:hAnsiTheme="majorBidi" w:cstheme="majorBidi"/>
                <w:sz w:val="24"/>
                <w:szCs w:val="24"/>
              </w:rPr>
              <w:t xml:space="preserve"> qui sépare </w:t>
            </w:r>
            <w:r w:rsidRPr="00AB5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deux parties de la pièce</w:t>
            </w:r>
            <w:r w:rsidRPr="00AB54B6">
              <w:rPr>
                <w:rFonts w:asciiTheme="majorBidi" w:hAnsiTheme="majorBidi" w:cstheme="majorBidi"/>
                <w:sz w:val="24"/>
                <w:szCs w:val="24"/>
              </w:rPr>
              <w:t xml:space="preserve">. Dans le modèle le joint de moulage est directement en contact avec la plaque modèle il existe généralement de sorte de joints de moulage </w:t>
            </w:r>
          </w:p>
          <w:p w:rsidR="00735953" w:rsidRPr="00AB54B6" w:rsidRDefault="00735953" w:rsidP="007359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B54B6">
              <w:rPr>
                <w:rFonts w:asciiTheme="majorBidi" w:hAnsiTheme="majorBidi" w:cstheme="majorBidi"/>
                <w:sz w:val="24"/>
                <w:szCs w:val="24"/>
              </w:rPr>
              <w:t xml:space="preserve">Le joint plat est le joint décroché  on opte pour l’un ou l’autre selon la forme de la pièce n’empêche que dans certaine cas, on peut s’en passer   </w:t>
            </w:r>
          </w:p>
          <w:p w:rsidR="00AB54B6" w:rsidRDefault="00AB54B6" w:rsidP="001F420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F399F" w:rsidRDefault="004F399F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00E6" w:rsidRDefault="00A80990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926285" cy="1725666"/>
            <wp:effectExtent l="19050" t="0" r="766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63" cy="172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90" w:rsidRDefault="00A80990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80990" w:rsidRDefault="00A80990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00E6" w:rsidRDefault="00A80990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Figure</w:t>
      </w:r>
      <w:r w:rsidR="008F63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="00BA4A08">
        <w:rPr>
          <w:rFonts w:asciiTheme="majorBidi" w:hAnsiTheme="majorBidi" w:cstheme="majorBidi"/>
          <w:b/>
          <w:bCs/>
          <w:sz w:val="24"/>
          <w:szCs w:val="24"/>
        </w:rPr>
        <w:t>4 ;</w:t>
      </w:r>
      <w:r w:rsidR="00BA4A08" w:rsidRPr="00A80990">
        <w:rPr>
          <w:rFonts w:asciiTheme="majorBidi" w:hAnsiTheme="majorBidi" w:cstheme="majorBidi"/>
          <w:sz w:val="24"/>
          <w:szCs w:val="24"/>
        </w:rPr>
        <w:t xml:space="preserve"> Les</w:t>
      </w:r>
      <w:r w:rsidRPr="00A80990">
        <w:rPr>
          <w:rFonts w:asciiTheme="majorBidi" w:hAnsiTheme="majorBidi" w:cstheme="majorBidi"/>
          <w:sz w:val="24"/>
          <w:szCs w:val="24"/>
        </w:rPr>
        <w:t xml:space="preserve"> deux types de joint de moule plat et décrochée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A4A08" w:rsidRDefault="00BA4A08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F399F" w:rsidRDefault="004F399F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I.4.4. </w:t>
      </w:r>
      <w:r w:rsidRPr="004F399F">
        <w:rPr>
          <w:rFonts w:asciiTheme="majorBidi" w:hAnsiTheme="majorBidi" w:cstheme="majorBidi"/>
          <w:b/>
          <w:bCs/>
          <w:sz w:val="24"/>
          <w:szCs w:val="24"/>
        </w:rPr>
        <w:t>Les surépaisseurs d’usinages :</w:t>
      </w:r>
    </w:p>
    <w:p w:rsidR="004F399F" w:rsidRPr="004F399F" w:rsidRDefault="004F399F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F399F" w:rsidRPr="004F399F" w:rsidRDefault="004F399F" w:rsidP="004F39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F399F">
        <w:rPr>
          <w:rFonts w:asciiTheme="majorBidi" w:hAnsiTheme="majorBidi" w:cstheme="majorBidi"/>
          <w:sz w:val="24"/>
          <w:szCs w:val="24"/>
        </w:rPr>
        <w:t>Réserves de matière nécessaires à l’usinage, elles sont fonction du nombre de passes effectuées et des copeaux</w:t>
      </w:r>
      <w:r>
        <w:rPr>
          <w:rFonts w:asciiTheme="majorBidi" w:hAnsiTheme="majorBidi" w:cstheme="majorBidi"/>
          <w:sz w:val="24"/>
          <w:szCs w:val="24"/>
        </w:rPr>
        <w:t xml:space="preserve"> qu’on doit enlever pour avoir un état de surface bien déterminer </w:t>
      </w:r>
      <w:r w:rsidR="00A530F1">
        <w:rPr>
          <w:rFonts w:asciiTheme="majorBidi" w:hAnsiTheme="majorBidi" w:cstheme="majorBidi"/>
          <w:sz w:val="24"/>
          <w:szCs w:val="24"/>
        </w:rPr>
        <w:t>genralement plus  lisse est tember exactement sur les même dimensions finales de la pièce</w:t>
      </w:r>
    </w:p>
    <w:p w:rsidR="000922DA" w:rsidRPr="004F399F" w:rsidRDefault="004F399F" w:rsidP="00A530F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399F">
        <w:rPr>
          <w:rFonts w:asciiTheme="majorBidi" w:hAnsiTheme="majorBidi" w:cstheme="majorBidi"/>
          <w:sz w:val="24"/>
          <w:szCs w:val="24"/>
        </w:rPr>
        <w:t>( ébauche, semi-finition, finition ).</w:t>
      </w:r>
    </w:p>
    <w:sectPr w:rsidR="000922DA" w:rsidRPr="004F399F" w:rsidSect="0047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4D" w:rsidRDefault="00F6504D" w:rsidP="00D700E6">
      <w:pPr>
        <w:spacing w:after="0" w:line="240" w:lineRule="auto"/>
      </w:pPr>
      <w:r>
        <w:separator/>
      </w:r>
    </w:p>
  </w:endnote>
  <w:endnote w:type="continuationSeparator" w:id="1">
    <w:p w:rsidR="00F6504D" w:rsidRDefault="00F6504D" w:rsidP="00D7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TE19B77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4D" w:rsidRDefault="00F6504D" w:rsidP="00D700E6">
      <w:pPr>
        <w:spacing w:after="0" w:line="240" w:lineRule="auto"/>
      </w:pPr>
      <w:r>
        <w:separator/>
      </w:r>
    </w:p>
  </w:footnote>
  <w:footnote w:type="continuationSeparator" w:id="1">
    <w:p w:rsidR="00F6504D" w:rsidRDefault="00F6504D" w:rsidP="00D7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52"/>
    <w:multiLevelType w:val="hybridMultilevel"/>
    <w:tmpl w:val="6E46E9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ABA"/>
    <w:multiLevelType w:val="hybridMultilevel"/>
    <w:tmpl w:val="097077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61645F"/>
    <w:multiLevelType w:val="hybridMultilevel"/>
    <w:tmpl w:val="B93A993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9E4"/>
    <w:rsid w:val="000922DA"/>
    <w:rsid w:val="00152341"/>
    <w:rsid w:val="00157317"/>
    <w:rsid w:val="001F420F"/>
    <w:rsid w:val="001F6261"/>
    <w:rsid w:val="002313DB"/>
    <w:rsid w:val="00333463"/>
    <w:rsid w:val="00431569"/>
    <w:rsid w:val="004724BE"/>
    <w:rsid w:val="004F399F"/>
    <w:rsid w:val="006B5FFD"/>
    <w:rsid w:val="006E5B49"/>
    <w:rsid w:val="00735953"/>
    <w:rsid w:val="007E09C0"/>
    <w:rsid w:val="00851197"/>
    <w:rsid w:val="00862D3D"/>
    <w:rsid w:val="008E09E4"/>
    <w:rsid w:val="008F1D20"/>
    <w:rsid w:val="008F63D5"/>
    <w:rsid w:val="00924429"/>
    <w:rsid w:val="00934124"/>
    <w:rsid w:val="00A530F1"/>
    <w:rsid w:val="00A80990"/>
    <w:rsid w:val="00AB54B6"/>
    <w:rsid w:val="00B825C0"/>
    <w:rsid w:val="00BA4A08"/>
    <w:rsid w:val="00D47FF5"/>
    <w:rsid w:val="00D700E6"/>
    <w:rsid w:val="00D85ECC"/>
    <w:rsid w:val="00D96FB3"/>
    <w:rsid w:val="00DD192D"/>
    <w:rsid w:val="00DE6156"/>
    <w:rsid w:val="00EC0C81"/>
    <w:rsid w:val="00F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E09E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7F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F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7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00E6"/>
  </w:style>
  <w:style w:type="paragraph" w:styleId="Pieddepage">
    <w:name w:val="footer"/>
    <w:basedOn w:val="Normal"/>
    <w:link w:val="PieddepageCar"/>
    <w:uiPriority w:val="99"/>
    <w:semiHidden/>
    <w:unhideWhenUsed/>
    <w:rsid w:val="00D7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0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1FD0-FF62-4FF7-8C49-D44607C4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megdad zaki</dc:creator>
  <cp:lastModifiedBy>megdad zaki</cp:lastModifiedBy>
  <cp:revision>11</cp:revision>
  <dcterms:created xsi:type="dcterms:W3CDTF">2020-04-22T13:29:00Z</dcterms:created>
  <dcterms:modified xsi:type="dcterms:W3CDTF">2020-04-24T11:50:00Z</dcterms:modified>
</cp:coreProperties>
</file>