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56" w:rsidRDefault="00822956" w:rsidP="00822956">
      <w:pPr>
        <w:pStyle w:val="Paragraphedeliste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Chapitre II /  cours 7/   procédés de fabrication   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822956" w:rsidTr="00AA3B17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822956" w:rsidRDefault="00822956" w:rsidP="00AA3B1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Objectifs du cours :</w:t>
            </w:r>
          </w:p>
          <w:p w:rsidR="00822956" w:rsidRPr="00EA63D9" w:rsidRDefault="00822956" w:rsidP="00AA3B17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A63D9">
              <w:rPr>
                <w:rFonts w:asciiTheme="majorBidi" w:hAnsiTheme="majorBidi" w:cstheme="majorBidi"/>
                <w:sz w:val="24"/>
                <w:szCs w:val="24"/>
              </w:rPr>
              <w:t xml:space="preserve">Acquérir des connaissances concernant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les différentes méthodes de fabrication</w:t>
            </w:r>
          </w:p>
          <w:p w:rsidR="00822956" w:rsidRDefault="00822956" w:rsidP="00822956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Faire connaissance des différents procédés de fabrication</w:t>
            </w:r>
            <w:r w:rsidR="006F78D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(procédés de noyautage) </w:t>
            </w:r>
          </w:p>
          <w:p w:rsidR="00822956" w:rsidRDefault="00822956" w:rsidP="00AA3B17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22956" w:rsidRDefault="00822956" w:rsidP="00AA3B17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DB5E54" w:rsidRDefault="007514E4"/>
    <w:p w:rsidR="00822956" w:rsidRPr="00712D10" w:rsidRDefault="0082295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12D10">
        <w:rPr>
          <w:rFonts w:asciiTheme="majorBidi" w:hAnsiTheme="majorBidi" w:cstheme="majorBidi"/>
          <w:b/>
          <w:bCs/>
          <w:sz w:val="24"/>
          <w:szCs w:val="24"/>
        </w:rPr>
        <w:t xml:space="preserve">Procédés de noyautage </w:t>
      </w:r>
    </w:p>
    <w:p w:rsidR="00822956" w:rsidRPr="00712D10" w:rsidRDefault="0082295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12D10">
        <w:rPr>
          <w:rFonts w:asciiTheme="majorBidi" w:hAnsiTheme="majorBidi" w:cstheme="majorBidi"/>
          <w:b/>
          <w:bCs/>
          <w:sz w:val="24"/>
          <w:szCs w:val="24"/>
        </w:rPr>
        <w:t>Procédé au silicate de soude (Procédé CO</w:t>
      </w:r>
      <w:r w:rsidRPr="00712D1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712D10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822956" w:rsidRPr="00712D10" w:rsidRDefault="0082295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12D10">
        <w:rPr>
          <w:rFonts w:asciiTheme="majorBidi" w:hAnsiTheme="majorBidi" w:cstheme="majorBidi"/>
          <w:b/>
          <w:bCs/>
          <w:sz w:val="24"/>
          <w:szCs w:val="24"/>
        </w:rPr>
        <w:t xml:space="preserve">Principe </w:t>
      </w:r>
    </w:p>
    <w:p w:rsidR="00822956" w:rsidRDefault="00822956" w:rsidP="006F78D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procédé CO</w:t>
      </w:r>
      <w:r w:rsidRPr="00822956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se distingue par sa mise en œuvre qui est très </w:t>
      </w:r>
      <w:r w:rsidR="006F78D9">
        <w:rPr>
          <w:rFonts w:asciiTheme="majorBidi" w:hAnsiTheme="majorBidi" w:cstheme="majorBidi"/>
          <w:sz w:val="24"/>
          <w:szCs w:val="24"/>
        </w:rPr>
        <w:t>facile,</w:t>
      </w:r>
      <w:r>
        <w:rPr>
          <w:rFonts w:asciiTheme="majorBidi" w:hAnsiTheme="majorBidi" w:cstheme="majorBidi"/>
          <w:sz w:val="24"/>
          <w:szCs w:val="24"/>
        </w:rPr>
        <w:t xml:space="preserve"> le liant agglomérant dans ce cas est une solution de silicate de soude  mélangé avec du sable durcit rapidement après gazage  au </w:t>
      </w:r>
      <w:proofErr w:type="gramStart"/>
      <w:r>
        <w:rPr>
          <w:rFonts w:asciiTheme="majorBidi" w:hAnsiTheme="majorBidi" w:cstheme="majorBidi"/>
          <w:sz w:val="24"/>
          <w:szCs w:val="24"/>
        </w:rPr>
        <w:t>CO</w:t>
      </w:r>
      <w:r w:rsidRPr="00712D1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712D10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="00712D10">
        <w:rPr>
          <w:rFonts w:asciiTheme="majorBidi" w:hAnsiTheme="majorBidi" w:cstheme="majorBidi"/>
          <w:sz w:val="24"/>
          <w:szCs w:val="24"/>
        </w:rPr>
        <w:t xml:space="preserve"> d’où la nécessité de ne procéder au soufflage du gaz que après introduction du mélange dans la boite à noyau.</w:t>
      </w:r>
    </w:p>
    <w:p w:rsidR="00712D10" w:rsidRPr="006F78D9" w:rsidRDefault="00712D1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F78D9">
        <w:rPr>
          <w:rFonts w:asciiTheme="majorBidi" w:hAnsiTheme="majorBidi" w:cstheme="majorBidi"/>
          <w:b/>
          <w:bCs/>
          <w:sz w:val="24"/>
          <w:szCs w:val="24"/>
        </w:rPr>
        <w:t xml:space="preserve">Exemple de formule de préparation </w:t>
      </w:r>
    </w:p>
    <w:p w:rsidR="00712D10" w:rsidRDefault="00712D10" w:rsidP="00712D10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Sable siliceux……………100Kg</w:t>
      </w:r>
    </w:p>
    <w:p w:rsidR="00712D10" w:rsidRDefault="00712D10" w:rsidP="00712D10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Silicate de soude…………4 à 4.5%</w:t>
      </w:r>
    </w:p>
    <w:p w:rsidR="00712D10" w:rsidRDefault="00712D10" w:rsidP="00712D10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Dixile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10 (agent de débourrage) 4%</w:t>
      </w:r>
    </w:p>
    <w:p w:rsidR="00E703A9" w:rsidRDefault="00712D10" w:rsidP="00E703A9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Gazage au CO</w:t>
      </w:r>
      <w:r w:rsidRPr="00E703A9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(après </w:t>
      </w:r>
      <w:r w:rsidR="00E703A9">
        <w:rPr>
          <w:rFonts w:asciiTheme="majorBidi" w:hAnsiTheme="majorBidi" w:cstheme="majorBidi"/>
          <w:sz w:val="24"/>
          <w:szCs w:val="24"/>
        </w:rPr>
        <w:t>préparation)</w:t>
      </w:r>
    </w:p>
    <w:p w:rsidR="00E703A9" w:rsidRPr="006F78D9" w:rsidRDefault="00E703A9" w:rsidP="00E703A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F78D9">
        <w:rPr>
          <w:rFonts w:asciiTheme="majorBidi" w:hAnsiTheme="majorBidi" w:cstheme="majorBidi"/>
          <w:b/>
          <w:bCs/>
          <w:sz w:val="24"/>
          <w:szCs w:val="24"/>
        </w:rPr>
        <w:t>Réaction de durcissement</w:t>
      </w:r>
    </w:p>
    <w:p w:rsidR="00E703A9" w:rsidRDefault="00E703A9" w:rsidP="00E703A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rappel que les silicates de soude est t’une solution aqueuse dot la formule chimique est la suivante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NaO</w:t>
      </w:r>
      <w:proofErr w:type="spellEnd"/>
      <w:r>
        <w:rPr>
          <w:rFonts w:asciiTheme="majorBidi" w:hAnsiTheme="majorBidi" w:cstheme="majorBidi"/>
          <w:sz w:val="24"/>
          <w:szCs w:val="24"/>
        </w:rPr>
        <w:t> ,nSi</w:t>
      </w:r>
      <w:r w:rsidRPr="00E703A9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O</w:t>
      </w:r>
      <w:proofErr w:type="gramEnd"/>
      <w:r>
        <w:rPr>
          <w:rFonts w:asciiTheme="majorBidi" w:hAnsiTheme="majorBidi" w:cstheme="majorBidi"/>
          <w:sz w:val="24"/>
          <w:szCs w:val="24"/>
        </w:rPr>
        <w:t> , mH</w:t>
      </w:r>
      <w:r w:rsidRPr="00E703A9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O , caractérisées par sont module  SiO</w:t>
      </w:r>
      <w:r w:rsidRPr="00E703A9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/Na</w:t>
      </w:r>
      <w:r w:rsidRPr="00E703A9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O</w:t>
      </w:r>
      <w:r w:rsidR="00D07EE3">
        <w:rPr>
          <w:rFonts w:asciiTheme="majorBidi" w:hAnsiTheme="majorBidi" w:cstheme="majorBidi"/>
          <w:sz w:val="24"/>
          <w:szCs w:val="24"/>
        </w:rPr>
        <w:t>.</w:t>
      </w:r>
    </w:p>
    <w:p w:rsidR="00D07EE3" w:rsidRDefault="00D07EE3" w:rsidP="00E703A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 durcissement s’obtient par gazage au gaz carbonique CO</w:t>
      </w:r>
      <w:r w:rsidRPr="00D07EE3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selon les réactions suivantes :</w:t>
      </w:r>
    </w:p>
    <w:p w:rsidR="00D07EE3" w:rsidRPr="00C82D53" w:rsidRDefault="00D07EE3" w:rsidP="00E703A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3.65pt;margin-top:8.9pt;width:28.8pt;height:.95pt;z-index:251658240" o:connectortype="straight">
            <v:stroke endarrow="block"/>
          </v:shape>
        </w:pict>
      </w:r>
      <w:r w:rsidRPr="00D07EE3">
        <w:rPr>
          <w:rFonts w:asciiTheme="majorBidi" w:hAnsiTheme="majorBidi" w:cstheme="majorBidi"/>
          <w:sz w:val="24"/>
          <w:szCs w:val="24"/>
          <w:lang w:val="en-US"/>
        </w:rPr>
        <w:t xml:space="preserve"> CO</w:t>
      </w:r>
      <w:r w:rsidRPr="00D07EE3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D07EE3">
        <w:rPr>
          <w:rFonts w:asciiTheme="majorBidi" w:hAnsiTheme="majorBidi" w:cstheme="majorBidi"/>
          <w:sz w:val="24"/>
          <w:szCs w:val="24"/>
          <w:lang w:val="en-US"/>
        </w:rPr>
        <w:t xml:space="preserve">   +   H</w:t>
      </w:r>
      <w:r w:rsidRPr="00D07EE3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D07EE3">
        <w:rPr>
          <w:rFonts w:asciiTheme="majorBidi" w:hAnsiTheme="majorBidi" w:cstheme="majorBidi"/>
          <w:sz w:val="24"/>
          <w:szCs w:val="24"/>
          <w:lang w:val="en-US"/>
        </w:rPr>
        <w:t>O            H</w:t>
      </w:r>
      <w:r w:rsidRPr="00D07EE3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D07EE3">
        <w:rPr>
          <w:rFonts w:asciiTheme="majorBidi" w:hAnsiTheme="majorBidi" w:cstheme="majorBidi"/>
          <w:sz w:val="24"/>
          <w:szCs w:val="24"/>
          <w:lang w:val="en-US"/>
        </w:rPr>
        <w:t>CO</w:t>
      </w:r>
      <w:r w:rsidRPr="00D07EE3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="00C82D53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                            </w:t>
      </w:r>
      <w:r w:rsidR="00C82D53">
        <w:rPr>
          <w:rFonts w:asciiTheme="majorBidi" w:hAnsiTheme="majorBidi" w:cstheme="majorBidi"/>
          <w:sz w:val="24"/>
          <w:szCs w:val="24"/>
          <w:lang w:val="en-US"/>
        </w:rPr>
        <w:t>(1)</w:t>
      </w:r>
    </w:p>
    <w:p w:rsidR="00D07EE3" w:rsidRDefault="00D07EE3" w:rsidP="00E703A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0" type="#_x0000_t32" style="position:absolute;margin-left:89pt;margin-top:9.9pt;width:22.55pt;height:0;z-index:251659264" o:connectortype="straight">
            <v:stroke endarrow="block"/>
          </v:shape>
        </w:pict>
      </w:r>
      <w:proofErr w:type="gramStart"/>
      <w:r w:rsidRPr="00D07EE3">
        <w:rPr>
          <w:rFonts w:asciiTheme="majorBidi" w:hAnsiTheme="majorBidi" w:cstheme="majorBidi"/>
          <w:sz w:val="24"/>
          <w:szCs w:val="24"/>
          <w:lang w:val="en-US"/>
        </w:rPr>
        <w:t>H</w:t>
      </w:r>
      <w:r w:rsidRPr="00D07EE3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D07EE3">
        <w:rPr>
          <w:rFonts w:asciiTheme="majorBidi" w:hAnsiTheme="majorBidi" w:cstheme="majorBidi"/>
          <w:sz w:val="24"/>
          <w:szCs w:val="24"/>
          <w:lang w:val="en-US"/>
        </w:rPr>
        <w:t>CO</w:t>
      </w:r>
      <w:r w:rsidRPr="00D07EE3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D07EE3">
        <w:rPr>
          <w:rFonts w:asciiTheme="majorBidi" w:hAnsiTheme="majorBidi" w:cstheme="majorBidi"/>
          <w:sz w:val="24"/>
          <w:szCs w:val="24"/>
          <w:lang w:val="en-US"/>
        </w:rPr>
        <w:t xml:space="preserve">  +</w:t>
      </w:r>
      <w:proofErr w:type="gramEnd"/>
      <w:r w:rsidRPr="00D07EE3">
        <w:rPr>
          <w:rFonts w:asciiTheme="majorBidi" w:hAnsiTheme="majorBidi" w:cstheme="majorBidi"/>
          <w:sz w:val="24"/>
          <w:szCs w:val="24"/>
          <w:lang w:val="en-US"/>
        </w:rPr>
        <w:t xml:space="preserve">  NaCO</w:t>
      </w:r>
      <w:r w:rsidRPr="00D07EE3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3              </w:t>
      </w:r>
      <w:r w:rsidRPr="00D07EE3">
        <w:rPr>
          <w:rFonts w:asciiTheme="majorBidi" w:hAnsiTheme="majorBidi" w:cstheme="majorBidi"/>
          <w:sz w:val="24"/>
          <w:szCs w:val="24"/>
          <w:lang w:val="en-US"/>
        </w:rPr>
        <w:t>Na</w:t>
      </w:r>
      <w:r w:rsidRPr="00D07EE3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D07EE3">
        <w:rPr>
          <w:rFonts w:asciiTheme="majorBidi" w:hAnsiTheme="majorBidi" w:cstheme="majorBidi"/>
          <w:sz w:val="24"/>
          <w:szCs w:val="24"/>
          <w:lang w:val="en-US"/>
        </w:rPr>
        <w:t>CO</w:t>
      </w:r>
      <w:r w:rsidRPr="00D07EE3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D07EE3">
        <w:rPr>
          <w:rFonts w:asciiTheme="majorBidi" w:hAnsiTheme="majorBidi" w:cstheme="majorBidi"/>
          <w:sz w:val="24"/>
          <w:szCs w:val="24"/>
          <w:lang w:val="en-US"/>
        </w:rPr>
        <w:t xml:space="preserve">  +  H</w:t>
      </w:r>
      <w:r w:rsidRPr="00D07EE3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D07EE3">
        <w:rPr>
          <w:rFonts w:asciiTheme="majorBidi" w:hAnsiTheme="majorBidi" w:cstheme="majorBidi"/>
          <w:sz w:val="24"/>
          <w:szCs w:val="24"/>
          <w:lang w:val="en-US"/>
        </w:rPr>
        <w:t>O</w:t>
      </w:r>
      <w:r w:rsidR="00C82D53">
        <w:rPr>
          <w:rFonts w:asciiTheme="majorBidi" w:hAnsiTheme="majorBidi" w:cstheme="majorBidi"/>
          <w:sz w:val="24"/>
          <w:szCs w:val="24"/>
          <w:lang w:val="en-US"/>
        </w:rPr>
        <w:t xml:space="preserve">  (2)</w:t>
      </w:r>
    </w:p>
    <w:p w:rsidR="00D07EE3" w:rsidRDefault="00D07EE3" w:rsidP="00E703A9">
      <w:pPr>
        <w:rPr>
          <w:rFonts w:asciiTheme="majorBidi" w:hAnsiTheme="majorBidi" w:cstheme="majorBidi"/>
          <w:sz w:val="24"/>
          <w:szCs w:val="24"/>
        </w:rPr>
      </w:pPr>
      <w:r w:rsidRPr="00D07EE3">
        <w:rPr>
          <w:rFonts w:asciiTheme="majorBidi" w:hAnsiTheme="majorBidi" w:cstheme="majorBidi"/>
          <w:sz w:val="24"/>
          <w:szCs w:val="24"/>
        </w:rPr>
        <w:t xml:space="preserve">La réaction générale est la suivante  </w:t>
      </w:r>
    </w:p>
    <w:p w:rsidR="00B86A0B" w:rsidRDefault="00C82D53" w:rsidP="00B86A0B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1" type="#_x0000_t32" style="position:absolute;margin-left:137.95pt;margin-top:8.55pt;width:23.5pt;height:0;z-index:251660288" o:connectortype="straight">
            <v:stroke endarrow="block"/>
          </v:shape>
        </w:pict>
      </w:r>
      <w:proofErr w:type="spellStart"/>
      <w:proofErr w:type="gramStart"/>
      <w:r w:rsidR="00B86A0B" w:rsidRPr="00B86A0B">
        <w:rPr>
          <w:rFonts w:asciiTheme="majorBidi" w:hAnsiTheme="majorBidi" w:cstheme="majorBidi"/>
          <w:sz w:val="24"/>
          <w:szCs w:val="24"/>
          <w:lang w:val="en-US"/>
        </w:rPr>
        <w:t>NaO</w:t>
      </w:r>
      <w:proofErr w:type="spellEnd"/>
      <w:r w:rsidR="00B86A0B" w:rsidRPr="00B86A0B">
        <w:rPr>
          <w:rFonts w:asciiTheme="majorBidi" w:hAnsiTheme="majorBidi" w:cstheme="majorBidi"/>
          <w:sz w:val="24"/>
          <w:szCs w:val="24"/>
          <w:lang w:val="en-US"/>
        </w:rPr>
        <w:t> ,nSi</w:t>
      </w:r>
      <w:r w:rsidR="00B86A0B" w:rsidRPr="00B86A0B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B86A0B" w:rsidRPr="00B86A0B">
        <w:rPr>
          <w:rFonts w:asciiTheme="majorBidi" w:hAnsiTheme="majorBidi" w:cstheme="majorBidi"/>
          <w:sz w:val="24"/>
          <w:szCs w:val="24"/>
          <w:lang w:val="en-US"/>
        </w:rPr>
        <w:t>O</w:t>
      </w:r>
      <w:proofErr w:type="gramEnd"/>
      <w:r w:rsidR="00B86A0B" w:rsidRPr="00B86A0B">
        <w:rPr>
          <w:rFonts w:asciiTheme="majorBidi" w:hAnsiTheme="majorBidi" w:cstheme="majorBidi"/>
          <w:sz w:val="24"/>
          <w:szCs w:val="24"/>
          <w:lang w:val="en-US"/>
        </w:rPr>
        <w:t> , mH</w:t>
      </w:r>
      <w:r w:rsidR="00B86A0B" w:rsidRPr="00B86A0B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B86A0B" w:rsidRPr="00B86A0B">
        <w:rPr>
          <w:rFonts w:asciiTheme="majorBidi" w:hAnsiTheme="majorBidi" w:cstheme="majorBidi"/>
          <w:sz w:val="24"/>
          <w:szCs w:val="24"/>
          <w:lang w:val="en-US"/>
        </w:rPr>
        <w:t xml:space="preserve">O  +  </w:t>
      </w:r>
      <w:r w:rsidR="00B86A0B" w:rsidRPr="00D07EE3">
        <w:rPr>
          <w:rFonts w:asciiTheme="majorBidi" w:hAnsiTheme="majorBidi" w:cstheme="majorBidi"/>
          <w:sz w:val="24"/>
          <w:szCs w:val="24"/>
          <w:lang w:val="en-US"/>
        </w:rPr>
        <w:t>CO</w:t>
      </w:r>
      <w:r w:rsidR="00B86A0B" w:rsidRPr="00D07EE3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B86A0B" w:rsidRPr="00D07EE3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="00B86A0B">
        <w:rPr>
          <w:rFonts w:asciiTheme="majorBidi" w:hAnsiTheme="majorBidi" w:cstheme="majorBidi"/>
          <w:sz w:val="24"/>
          <w:szCs w:val="24"/>
          <w:lang w:val="en-US"/>
        </w:rPr>
        <w:t xml:space="preserve">        </w:t>
      </w:r>
      <w:r w:rsidR="00B86A0B" w:rsidRPr="00D07EE3">
        <w:rPr>
          <w:rFonts w:asciiTheme="majorBidi" w:hAnsiTheme="majorBidi" w:cstheme="majorBidi"/>
          <w:sz w:val="24"/>
          <w:szCs w:val="24"/>
          <w:lang w:val="en-US"/>
        </w:rPr>
        <w:t>Na</w:t>
      </w:r>
      <w:r w:rsidR="00B86A0B" w:rsidRPr="00D07EE3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B86A0B" w:rsidRPr="00D07EE3">
        <w:rPr>
          <w:rFonts w:asciiTheme="majorBidi" w:hAnsiTheme="majorBidi" w:cstheme="majorBidi"/>
          <w:sz w:val="24"/>
          <w:szCs w:val="24"/>
          <w:lang w:val="en-US"/>
        </w:rPr>
        <w:t>CO</w:t>
      </w:r>
      <w:r w:rsidR="00B86A0B" w:rsidRPr="00D07EE3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="00B86A0B" w:rsidRPr="00D07E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86A0B">
        <w:rPr>
          <w:rFonts w:asciiTheme="majorBidi" w:hAnsiTheme="majorBidi" w:cstheme="majorBidi"/>
          <w:sz w:val="24"/>
          <w:szCs w:val="24"/>
          <w:lang w:val="en-US"/>
        </w:rPr>
        <w:t>.10</w:t>
      </w:r>
      <w:r w:rsidR="00B86A0B" w:rsidRPr="00D07EE3">
        <w:rPr>
          <w:rFonts w:asciiTheme="majorBidi" w:hAnsiTheme="majorBidi" w:cstheme="majorBidi"/>
          <w:sz w:val="24"/>
          <w:szCs w:val="24"/>
          <w:lang w:val="en-US"/>
        </w:rPr>
        <w:t xml:space="preserve">  H</w:t>
      </w:r>
      <w:r w:rsidR="00B86A0B" w:rsidRPr="00D07EE3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B86A0B" w:rsidRPr="00D07EE3">
        <w:rPr>
          <w:rFonts w:asciiTheme="majorBidi" w:hAnsiTheme="majorBidi" w:cstheme="majorBidi"/>
          <w:sz w:val="24"/>
          <w:szCs w:val="24"/>
          <w:lang w:val="en-US"/>
        </w:rPr>
        <w:t>O</w:t>
      </w:r>
      <w:r w:rsidR="00B86A0B">
        <w:rPr>
          <w:rFonts w:asciiTheme="majorBidi" w:hAnsiTheme="majorBidi" w:cstheme="majorBidi"/>
          <w:sz w:val="24"/>
          <w:szCs w:val="24"/>
          <w:lang w:val="en-US"/>
        </w:rPr>
        <w:t xml:space="preserve"> + </w:t>
      </w:r>
      <w:r w:rsidR="00B86A0B" w:rsidRPr="00B86A0B">
        <w:rPr>
          <w:rFonts w:asciiTheme="majorBidi" w:hAnsiTheme="majorBidi" w:cstheme="majorBidi"/>
          <w:sz w:val="24"/>
          <w:szCs w:val="24"/>
          <w:lang w:val="en-US"/>
        </w:rPr>
        <w:t>nSi</w:t>
      </w:r>
      <w:r w:rsidR="00B86A0B" w:rsidRPr="00B86A0B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B86A0B" w:rsidRPr="00B86A0B">
        <w:rPr>
          <w:rFonts w:asciiTheme="majorBidi" w:hAnsiTheme="majorBidi" w:cstheme="majorBidi"/>
          <w:sz w:val="24"/>
          <w:szCs w:val="24"/>
          <w:lang w:val="en-US"/>
        </w:rPr>
        <w:t xml:space="preserve">O , </w:t>
      </w:r>
      <w:r w:rsidR="00B86A0B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B86A0B" w:rsidRPr="00B86A0B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B86A0B">
        <w:rPr>
          <w:rFonts w:asciiTheme="majorBidi" w:hAnsiTheme="majorBidi" w:cstheme="majorBidi"/>
          <w:sz w:val="24"/>
          <w:szCs w:val="24"/>
          <w:lang w:val="en-US"/>
        </w:rPr>
        <w:t>-10)</w:t>
      </w:r>
      <w:r w:rsidR="00B86A0B" w:rsidRPr="00B86A0B">
        <w:rPr>
          <w:rFonts w:asciiTheme="majorBidi" w:hAnsiTheme="majorBidi" w:cstheme="majorBidi"/>
          <w:sz w:val="24"/>
          <w:szCs w:val="24"/>
          <w:lang w:val="en-US"/>
        </w:rPr>
        <w:t>H</w:t>
      </w:r>
      <w:r w:rsidR="00B86A0B" w:rsidRPr="00B86A0B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B86A0B" w:rsidRPr="00B86A0B">
        <w:rPr>
          <w:rFonts w:asciiTheme="majorBidi" w:hAnsiTheme="majorBidi" w:cstheme="majorBidi"/>
          <w:sz w:val="24"/>
          <w:szCs w:val="24"/>
          <w:lang w:val="en-US"/>
        </w:rPr>
        <w:t>O 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(3)</w:t>
      </w:r>
    </w:p>
    <w:p w:rsidR="00C82D53" w:rsidRDefault="00C82D53" w:rsidP="00B86A0B">
      <w:pPr>
        <w:rPr>
          <w:rFonts w:asciiTheme="majorBidi" w:hAnsiTheme="majorBidi" w:cstheme="majorBidi"/>
          <w:sz w:val="24"/>
          <w:szCs w:val="24"/>
        </w:rPr>
      </w:pPr>
      <w:r w:rsidRPr="00C82D53">
        <w:rPr>
          <w:rFonts w:asciiTheme="majorBidi" w:hAnsiTheme="majorBidi" w:cstheme="majorBidi"/>
          <w:sz w:val="24"/>
          <w:szCs w:val="24"/>
        </w:rPr>
        <w:t>On remarquera  que la réaction</w:t>
      </w:r>
      <w:r>
        <w:rPr>
          <w:rFonts w:asciiTheme="majorBidi" w:hAnsiTheme="majorBidi" w:cstheme="majorBidi"/>
          <w:sz w:val="24"/>
          <w:szCs w:val="24"/>
        </w:rPr>
        <w:t xml:space="preserve"> (2) augmente le module  d’où une élévation de la viscosité puis le durcissement du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noyau </w:t>
      </w:r>
      <w:r w:rsidR="00D90D22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6F78D9" w:rsidRDefault="006F78D9" w:rsidP="00D90D22">
      <w:pPr>
        <w:rPr>
          <w:rFonts w:asciiTheme="majorBidi" w:hAnsiTheme="majorBidi" w:cstheme="majorBidi"/>
          <w:sz w:val="24"/>
          <w:szCs w:val="24"/>
        </w:rPr>
      </w:pPr>
    </w:p>
    <w:p w:rsidR="006F78D9" w:rsidRDefault="006F78D9" w:rsidP="00D90D22">
      <w:pPr>
        <w:rPr>
          <w:rFonts w:asciiTheme="majorBidi" w:hAnsiTheme="majorBidi" w:cstheme="majorBidi"/>
          <w:sz w:val="24"/>
          <w:szCs w:val="24"/>
        </w:rPr>
      </w:pPr>
    </w:p>
    <w:p w:rsidR="006F78D9" w:rsidRDefault="006F78D9" w:rsidP="00D90D22">
      <w:pPr>
        <w:rPr>
          <w:rFonts w:asciiTheme="majorBidi" w:hAnsiTheme="majorBidi" w:cstheme="majorBidi"/>
          <w:sz w:val="24"/>
          <w:szCs w:val="24"/>
        </w:rPr>
      </w:pPr>
    </w:p>
    <w:p w:rsidR="00D90D22" w:rsidRDefault="00D90D22" w:rsidP="00D90D2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F78D9">
        <w:rPr>
          <w:rFonts w:asciiTheme="majorBidi" w:hAnsiTheme="majorBidi" w:cstheme="majorBidi"/>
          <w:b/>
          <w:bCs/>
          <w:sz w:val="24"/>
          <w:szCs w:val="24"/>
        </w:rPr>
        <w:lastRenderedPageBreak/>
        <w:t>Procédé à l’émulsion (l’huile de lin)</w:t>
      </w:r>
    </w:p>
    <w:p w:rsidR="006F78D9" w:rsidRPr="006F78D9" w:rsidRDefault="006F78D9" w:rsidP="00D90D2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Principe</w:t>
      </w:r>
    </w:p>
    <w:p w:rsidR="00932DBF" w:rsidRDefault="00D90D22" w:rsidP="006F78D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Dans ce procédé l’huile de lin est utilisé comme agglomérant capable de durcir sous l’effet conjugué d’une atmosphère oxydante et la </w:t>
      </w:r>
      <w:r w:rsidR="006F78D9">
        <w:rPr>
          <w:rFonts w:asciiTheme="majorBidi" w:hAnsiTheme="majorBidi" w:cstheme="majorBidi"/>
          <w:sz w:val="24"/>
          <w:szCs w:val="24"/>
        </w:rPr>
        <w:t>température, assurant</w:t>
      </w:r>
      <w:r>
        <w:rPr>
          <w:rFonts w:asciiTheme="majorBidi" w:hAnsiTheme="majorBidi" w:cstheme="majorBidi"/>
          <w:sz w:val="24"/>
          <w:szCs w:val="24"/>
        </w:rPr>
        <w:t xml:space="preserve"> ainsi</w:t>
      </w:r>
      <w:r w:rsidR="00932DB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la résistance mécanique finale de noyau</w:t>
      </w:r>
      <w:r w:rsidR="00932DBF">
        <w:rPr>
          <w:rFonts w:asciiTheme="majorBidi" w:hAnsiTheme="majorBidi" w:cstheme="majorBidi"/>
          <w:sz w:val="24"/>
          <w:szCs w:val="24"/>
        </w:rPr>
        <w:t xml:space="preserve">. Les noyaux fabriqué par ce procédé nécessite dans en premier une cohésion  à vert qui est assurer par la </w:t>
      </w:r>
      <w:r w:rsidR="006F78D9">
        <w:rPr>
          <w:rFonts w:asciiTheme="majorBidi" w:hAnsiTheme="majorBidi" w:cstheme="majorBidi"/>
          <w:sz w:val="24"/>
          <w:szCs w:val="24"/>
        </w:rPr>
        <w:t>bentonite,</w:t>
      </w:r>
      <w:r w:rsidR="00932DBF">
        <w:rPr>
          <w:rFonts w:asciiTheme="majorBidi" w:hAnsiTheme="majorBidi" w:cstheme="majorBidi"/>
          <w:sz w:val="24"/>
          <w:szCs w:val="24"/>
        </w:rPr>
        <w:t xml:space="preserve"> un agent de débourrage est ajouté au mélange dont le rôle est de faciliter la séparation du noyau de la pièce (après coulée</w:t>
      </w:r>
      <w:r w:rsidR="006F78D9">
        <w:rPr>
          <w:rFonts w:asciiTheme="majorBidi" w:hAnsiTheme="majorBidi" w:cstheme="majorBidi"/>
          <w:sz w:val="24"/>
          <w:szCs w:val="24"/>
        </w:rPr>
        <w:t>), une</w:t>
      </w:r>
      <w:r w:rsidR="00932DBF">
        <w:rPr>
          <w:rFonts w:asciiTheme="majorBidi" w:hAnsiTheme="majorBidi" w:cstheme="majorBidi"/>
          <w:sz w:val="24"/>
          <w:szCs w:val="24"/>
        </w:rPr>
        <w:t xml:space="preserve"> fois le noyau fabriqué on passa à l’étape d’étuvage (</w:t>
      </w:r>
      <w:r w:rsidR="007514E4">
        <w:rPr>
          <w:rFonts w:asciiTheme="majorBidi" w:hAnsiTheme="majorBidi" w:cstheme="majorBidi"/>
          <w:sz w:val="24"/>
          <w:szCs w:val="24"/>
        </w:rPr>
        <w:t>cuisson)</w:t>
      </w:r>
      <w:r w:rsidR="00932DBF">
        <w:rPr>
          <w:rFonts w:asciiTheme="majorBidi" w:hAnsiTheme="majorBidi" w:cstheme="majorBidi"/>
          <w:sz w:val="24"/>
          <w:szCs w:val="24"/>
        </w:rPr>
        <w:t xml:space="preserve"> celle-ci se fait  dans des fours</w:t>
      </w:r>
      <w:r w:rsidR="006F78D9">
        <w:rPr>
          <w:rFonts w:asciiTheme="majorBidi" w:hAnsiTheme="majorBidi" w:cstheme="majorBidi"/>
          <w:sz w:val="24"/>
          <w:szCs w:val="24"/>
        </w:rPr>
        <w:t>.</w:t>
      </w:r>
    </w:p>
    <w:p w:rsidR="00036964" w:rsidRPr="007514E4" w:rsidRDefault="00036964" w:rsidP="006F78D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14E4">
        <w:rPr>
          <w:rFonts w:asciiTheme="majorBidi" w:hAnsiTheme="majorBidi" w:cstheme="majorBidi"/>
          <w:b/>
          <w:bCs/>
          <w:sz w:val="24"/>
          <w:szCs w:val="24"/>
        </w:rPr>
        <w:t xml:space="preserve">Exemple  de formule de préparation </w:t>
      </w:r>
    </w:p>
    <w:p w:rsidR="00036964" w:rsidRPr="00036964" w:rsidRDefault="00036964" w:rsidP="00036964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036964">
        <w:rPr>
          <w:rFonts w:asciiTheme="majorBidi" w:hAnsiTheme="majorBidi" w:cstheme="majorBidi"/>
          <w:sz w:val="24"/>
          <w:szCs w:val="24"/>
        </w:rPr>
        <w:t>Sable siliceux ………………..100Kg</w:t>
      </w:r>
    </w:p>
    <w:p w:rsidR="00036964" w:rsidRPr="00036964" w:rsidRDefault="00036964" w:rsidP="00036964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036964">
        <w:rPr>
          <w:rFonts w:asciiTheme="majorBidi" w:hAnsiTheme="majorBidi" w:cstheme="majorBidi"/>
          <w:sz w:val="24"/>
          <w:szCs w:val="24"/>
        </w:rPr>
        <w:t>Bentonite …………………….2.5Kg</w:t>
      </w:r>
    </w:p>
    <w:p w:rsidR="00036964" w:rsidRPr="00036964" w:rsidRDefault="00036964" w:rsidP="00036964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036964">
        <w:rPr>
          <w:rFonts w:asciiTheme="majorBidi" w:hAnsiTheme="majorBidi" w:cstheme="majorBidi"/>
          <w:sz w:val="24"/>
          <w:szCs w:val="24"/>
        </w:rPr>
        <w:t>Eau…………………………….0.5 à 1%</w:t>
      </w:r>
    </w:p>
    <w:p w:rsidR="00036964" w:rsidRPr="00036964" w:rsidRDefault="00036964" w:rsidP="00036964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036964">
        <w:rPr>
          <w:rFonts w:asciiTheme="majorBidi" w:hAnsiTheme="majorBidi" w:cstheme="majorBidi"/>
          <w:sz w:val="24"/>
          <w:szCs w:val="24"/>
        </w:rPr>
        <w:t>Amidon…………………………0.2 %</w:t>
      </w:r>
    </w:p>
    <w:p w:rsidR="00036964" w:rsidRPr="007514E4" w:rsidRDefault="00036964" w:rsidP="006F78D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14E4">
        <w:rPr>
          <w:rFonts w:asciiTheme="majorBidi" w:hAnsiTheme="majorBidi" w:cstheme="majorBidi"/>
          <w:b/>
          <w:bCs/>
          <w:sz w:val="24"/>
          <w:szCs w:val="24"/>
        </w:rPr>
        <w:t>Durcissement des noyaux</w:t>
      </w:r>
    </w:p>
    <w:p w:rsidR="00D90D22" w:rsidRDefault="00036964" w:rsidP="006F78D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Une fois les noyaux </w:t>
      </w:r>
      <w:r w:rsidR="007514E4">
        <w:rPr>
          <w:rFonts w:asciiTheme="majorBidi" w:hAnsiTheme="majorBidi" w:cstheme="majorBidi"/>
          <w:sz w:val="24"/>
          <w:szCs w:val="24"/>
        </w:rPr>
        <w:t>fabriqué,</w:t>
      </w:r>
      <w:r>
        <w:rPr>
          <w:rFonts w:asciiTheme="majorBidi" w:hAnsiTheme="majorBidi" w:cstheme="majorBidi"/>
          <w:sz w:val="24"/>
          <w:szCs w:val="24"/>
        </w:rPr>
        <w:t xml:space="preserve"> ces derniers en enfourner dans des fours </w:t>
      </w:r>
      <w:r w:rsidR="001543FC">
        <w:rPr>
          <w:rFonts w:asciiTheme="majorBidi" w:hAnsiTheme="majorBidi" w:cstheme="majorBidi"/>
          <w:sz w:val="24"/>
          <w:szCs w:val="24"/>
        </w:rPr>
        <w:t>pour un une cuisson a une température de 200 à 250°c pour une durée variant de 1.30 à2 heures .Après étuvage on obtient des noyaux à haute résistance mécanique</w:t>
      </w:r>
      <w:r w:rsidR="00932DBF">
        <w:rPr>
          <w:rFonts w:asciiTheme="majorBidi" w:hAnsiTheme="majorBidi" w:cstheme="majorBidi"/>
          <w:sz w:val="24"/>
          <w:szCs w:val="24"/>
        </w:rPr>
        <w:t xml:space="preserve"> </w:t>
      </w:r>
      <w:r w:rsidR="001543FC">
        <w:rPr>
          <w:rFonts w:asciiTheme="majorBidi" w:hAnsiTheme="majorBidi" w:cstheme="majorBidi"/>
          <w:sz w:val="24"/>
          <w:szCs w:val="24"/>
        </w:rPr>
        <w:t xml:space="preserve">leur permettant de résister aux tentions de métal lors de la </w:t>
      </w:r>
      <w:r w:rsidR="007514E4">
        <w:rPr>
          <w:rFonts w:asciiTheme="majorBidi" w:hAnsiTheme="majorBidi" w:cstheme="majorBidi"/>
          <w:sz w:val="24"/>
          <w:szCs w:val="24"/>
        </w:rPr>
        <w:t>coulée.</w:t>
      </w:r>
    </w:p>
    <w:p w:rsidR="001543FC" w:rsidRPr="007514E4" w:rsidRDefault="001543FC" w:rsidP="006F78D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14E4">
        <w:rPr>
          <w:rFonts w:asciiTheme="majorBidi" w:hAnsiTheme="majorBidi" w:cstheme="majorBidi"/>
          <w:b/>
          <w:bCs/>
          <w:sz w:val="24"/>
          <w:szCs w:val="24"/>
        </w:rPr>
        <w:t xml:space="preserve">Avantage du procédé </w:t>
      </w:r>
    </w:p>
    <w:p w:rsidR="001543FC" w:rsidRPr="001543FC" w:rsidRDefault="001543FC" w:rsidP="001543FC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1543FC">
        <w:rPr>
          <w:rFonts w:asciiTheme="majorBidi" w:hAnsiTheme="majorBidi" w:cstheme="majorBidi"/>
          <w:sz w:val="24"/>
          <w:szCs w:val="24"/>
        </w:rPr>
        <w:t>Mise en œuvre facile.</w:t>
      </w:r>
    </w:p>
    <w:p w:rsidR="001543FC" w:rsidRDefault="001543FC" w:rsidP="001543FC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1543FC">
        <w:rPr>
          <w:rFonts w:asciiTheme="majorBidi" w:hAnsiTheme="majorBidi" w:cstheme="majorBidi"/>
          <w:sz w:val="24"/>
          <w:szCs w:val="24"/>
        </w:rPr>
        <w:t>les noyau</w:t>
      </w:r>
      <w:r>
        <w:rPr>
          <w:rFonts w:asciiTheme="majorBidi" w:hAnsiTheme="majorBidi" w:cstheme="majorBidi"/>
          <w:sz w:val="24"/>
          <w:szCs w:val="24"/>
        </w:rPr>
        <w:t>x</w:t>
      </w:r>
      <w:r w:rsidRPr="001543FC">
        <w:rPr>
          <w:rFonts w:asciiTheme="majorBidi" w:hAnsiTheme="majorBidi" w:cstheme="majorBidi"/>
          <w:sz w:val="24"/>
          <w:szCs w:val="24"/>
        </w:rPr>
        <w:t xml:space="preserve"> sont serré</w:t>
      </w:r>
      <w:r w:rsidR="007514E4">
        <w:rPr>
          <w:rFonts w:asciiTheme="majorBidi" w:hAnsiTheme="majorBidi" w:cstheme="majorBidi"/>
          <w:sz w:val="24"/>
          <w:szCs w:val="24"/>
        </w:rPr>
        <w:t>s</w:t>
      </w:r>
      <w:r w:rsidRPr="001543FC">
        <w:rPr>
          <w:rFonts w:asciiTheme="majorBidi" w:hAnsiTheme="majorBidi" w:cstheme="majorBidi"/>
          <w:sz w:val="24"/>
          <w:szCs w:val="24"/>
        </w:rPr>
        <w:t xml:space="preserve"> manuellement par des operateurs ne nécessitant pas un équipement spécifique  </w:t>
      </w:r>
      <w:r w:rsidR="007514E4">
        <w:rPr>
          <w:rFonts w:asciiTheme="majorBidi" w:hAnsiTheme="majorBidi" w:cstheme="majorBidi"/>
          <w:sz w:val="24"/>
          <w:szCs w:val="24"/>
        </w:rPr>
        <w:t>hormis les boites à noyaux</w:t>
      </w:r>
    </w:p>
    <w:p w:rsidR="001543FC" w:rsidRPr="001543FC" w:rsidRDefault="007514E4" w:rsidP="001543FC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S’adapte dans le cas de grande  séries (nombre important de </w:t>
      </w:r>
      <w:proofErr w:type="gramStart"/>
      <w:r>
        <w:rPr>
          <w:rFonts w:asciiTheme="majorBidi" w:hAnsiTheme="majorBidi" w:cstheme="majorBidi"/>
          <w:sz w:val="24"/>
          <w:szCs w:val="24"/>
        </w:rPr>
        <w:t>pièces )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1543FC" w:rsidRPr="00C82D53" w:rsidRDefault="001543FC" w:rsidP="006F78D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07EE3" w:rsidRPr="00C82D53" w:rsidRDefault="00D07EE3" w:rsidP="00E703A9">
      <w:pPr>
        <w:rPr>
          <w:rFonts w:asciiTheme="majorBidi" w:hAnsiTheme="majorBidi" w:cstheme="majorBidi"/>
          <w:sz w:val="24"/>
          <w:szCs w:val="24"/>
        </w:rPr>
      </w:pPr>
    </w:p>
    <w:sectPr w:rsidR="00D07EE3" w:rsidRPr="00C82D53" w:rsidSect="00D44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752"/>
    <w:multiLevelType w:val="hybridMultilevel"/>
    <w:tmpl w:val="6428EF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974881"/>
    <w:multiLevelType w:val="hybridMultilevel"/>
    <w:tmpl w:val="A58675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2427B5"/>
    <w:multiLevelType w:val="hybridMultilevel"/>
    <w:tmpl w:val="DA244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4786B"/>
    <w:multiLevelType w:val="hybridMultilevel"/>
    <w:tmpl w:val="5DBC5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549C9"/>
    <w:multiLevelType w:val="hybridMultilevel"/>
    <w:tmpl w:val="C8FE5C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822956"/>
    <w:rsid w:val="00036964"/>
    <w:rsid w:val="001543FC"/>
    <w:rsid w:val="006F78D9"/>
    <w:rsid w:val="00712D10"/>
    <w:rsid w:val="007514E4"/>
    <w:rsid w:val="00822956"/>
    <w:rsid w:val="00932DBF"/>
    <w:rsid w:val="00934124"/>
    <w:rsid w:val="00B86A0B"/>
    <w:rsid w:val="00C82D53"/>
    <w:rsid w:val="00D07EE3"/>
    <w:rsid w:val="00D443C0"/>
    <w:rsid w:val="00D90D22"/>
    <w:rsid w:val="00E703A9"/>
    <w:rsid w:val="00EC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10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2956"/>
    <w:pPr>
      <w:ind w:left="720"/>
      <w:contextualSpacing/>
    </w:pPr>
  </w:style>
  <w:style w:type="table" w:styleId="Grilledutableau">
    <w:name w:val="Table Grid"/>
    <w:basedOn w:val="TableauNormal"/>
    <w:uiPriority w:val="59"/>
    <w:rsid w:val="00822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megdad zaki</dc:creator>
  <cp:lastModifiedBy>megdad zaki</cp:lastModifiedBy>
  <cp:revision>3</cp:revision>
  <dcterms:created xsi:type="dcterms:W3CDTF">2020-06-15T10:53:00Z</dcterms:created>
  <dcterms:modified xsi:type="dcterms:W3CDTF">2020-06-15T12:59:00Z</dcterms:modified>
</cp:coreProperties>
</file>